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ATAS/288/2026 vom 2. April 2026</w:t>
      </w:r>
    </w:p>
    <w:p>
      <w:r>
        <w:t>GE Cour de justice, 2026-04-02, FR</w:t>
      </w:r>
    </w:p>
    <w:p>
      <w:r>
        <w:rPr>
          <w:b/>
        </w:rPr>
        <w:t xml:space="preserve">Quelle: </w:t>
      </w:r>
      <w:r>
        <w:t>https://mcp.opencaselaw.ch/entscheid/ge_gerichte_ATAS_288_2026</w:t>
      </w:r>
    </w:p>
    <w:p>
      <w:r>
        <w:t>FR: GE_GERICHTE ATAS/288/2026 du 2 avril 2026</w:t>
      </w:r>
    </w:p>
    <w:p>
      <w:r>
        <w:t>IT: GE_GERICHTE ATAS/288/2026 del 2 aprile 2026</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de la loi fédérale du 30 mars 1911, complétant le Code civil suisse [CO, Code des obligations – RS 220] ; art. 52, 56a al. 1 et 73 de la loi fédérale sur la prévoyance professionnelle, vieillesse, survivants et invalidité du 25 juin 1982 [LPP – RS 831.40] ; art. 142 du Code civil suisse du 10 décembre 1907 [CC - RS 210]). La défenderesse ayant son siège à Genève, la chambre de céans est compétente pour juger du cas d’espèce.</w:t>
      </w:r>
    </w:p>
    <w:p>
      <w:r>
        <w:rPr>
          <w:b/>
        </w:rPr>
        <w:t>E. 2</w:t>
      </w:r>
    </w:p>
    <w:p>
      <w:r>
        <w:t>L’ouverture de l’action prévue à l’art. 73 al. 1 LPP n’est soumise, comme telle, à l’observation d’aucun délai (ATAS/929/2017 du 18 octobre 2017 consid. 2 et les références citées). La demande respecte en outre la forme prévue à l’art. 89B de la loi sur la procédure administrative du 12 septembre 1985 (LPA – E 5 10). Partant, elle est recevable.</w:t>
      </w:r>
    </w:p>
    <w:p>
      <w:r>
        <w:rPr>
          <w:b/>
        </w:rPr>
        <w:t>E. 3</w:t>
      </w:r>
    </w:p>
    <w:p>
      <w:r>
        <w:t>Le litige porte sur le bien-fondé de la demande en condamnation au paiement des cotisations échues, ainsi que des intérêts et frais, formée par la demanderesse et la demande de mainlevée de l’opposition au commandement de payer.</w:t>
      </w:r>
    </w:p>
    <w:p>
      <w:r>
        <w:rPr>
          <w:b/>
        </w:rPr>
        <w:t>E. 4</w:t>
      </w:r>
    </w:p>
    <w:p>
      <w:r>
        <w:t>La LPP institue un régime d’assurance obligatoire des salariés (art. 2 al. 1 LPP). Selon l’art. 11 al. 1 LPP, tout employeur occupant des salariés soumis à l’assurance obligatoire doit être affilié à une institution de prévoyance inscrite dans le registre de la prévoyance professionnelle.</w:t>
      </w:r>
    </w:p>
    <w:p>
      <w:r>
        <w:rPr>
          <w:b/>
        </w:rPr>
        <w:t>E. 5</w:t>
      </w:r>
    </w:p>
    <w:p>
      <w:r>
        <w:t>La convention dite d’affiliation (« Anschlussvertrag »)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phr. 1 LPP).</w:t>
      </w:r>
    </w:p>
    <w:p>
      <w:r>
        <w:rPr>
          <w:b/>
        </w:rPr>
        <w:t>E. 6</w:t>
      </w:r>
    </w:p>
    <w:p>
      <w:r>
        <w:t>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 RSAS 1990 p. 161 consid. 4b).</w:t>
      </w:r>
    </w:p>
    <w:p>
      <w:r>
        <w:t>A/367/2026 - 6/12 -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 dans la mesure où un taux d’intérêt plus élevé n’a pas été convenu par contrat (art. 104 al. 1 et 2 CO ; ATF 130 V 414 consid. 5 ; 127 V 377 consid. 5e/bb et les références). Selon l’art. 105 al. 3 CO, des intérêts ne peuvent être portés en compte pour cause de retard dans les intérêts moratoires (RSAS 2003 p. 500 consid. 6.1). Le taux de l’intérêt moratoire prévu, tant à l’art. 104 al. 1 CO, qu’à l’art. 104 al. 2 CO est fixe et ne tient pas compte des fluctuations des taux d’intérêt liées au marché (ATF 130 III 312 consid. 7.1 ; cf. TERCIER/PICHONNAZ, Le droit des obligations, 2012, n. 1296). Si ni la preuve d’un intérêt moratoire conventionnel (en dérogation à l’art. 104 al. 1 CO), ni la preuve d’un intérêt conventionnel supérieur à 5% (au sens de l’art. 104 al. 2 CO) ne sont apportées par le créancier, l’intérêt moratoire légal de 5% est applicable en vertu de l’art. 104 al. 1 CO.</w:t>
      </w:r>
    </w:p>
    <w:p>
      <w:r>
        <w:rPr>
          <w:b/>
        </w:rPr>
        <w:t>E. 7</w:t>
      </w:r>
    </w:p>
    <w:p>
      <w:r>
        <w:t>En matière de prévoyance professionnelle, le juge saisi d’une action doit se prononcer sur l’existence ou l’étendue d’un droit ou d’une obligation dont une partie prétend être titulaire contre l’autre partie (arrêt du Tribunal fédéral des assurances B.91/05 du 17 janvier 2007 consid. 2.1).</w:t>
      </w:r>
    </w:p>
    <w:p>
      <w:r>
        <w:rPr>
          <w:b/>
        </w:rPr>
        <w:t>E. 8</w:t>
      </w:r>
    </w:p>
    <w:p>
      <w:r>
        <w:t>L’objet du litige devant la juridiction cantonale est déterminé par les conclusions de la demande introduite (arrêt du Tribunal fédéral des assurances B.72/04 du 31 janvier 2006 consid. 1.1). C’est ainsi la partie qui déclenche l’ouverture de la procédure qui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 droit d’être entendu des parties (arrêt du Tribunal fédéral des assurances B.59/03 du 30 décembre 2003 consid. 4.1).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w:t>
      </w:r>
    </w:p>
    <w:p>
      <w:r>
        <w:t>A/367/2026 - 7/12 -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10.1</w:t>
      </w:r>
    </w:p>
    <w:p>
      <w:r>
        <w:t>En l’espèce, selon le ch. 4 du contrat d’adhésion liant les parties, et par renvoi aux DGCA, ch. 7, la défenderesse s’est engagée à payer les cotisations sociales facturées par la demanderesse. La défenderesse n’a fait valoir aucun motif justifiant qu’elle se soustraie au paiement et n’a jamais contesté les montants qui lui étaient réclamés par la demanderesse. Elle a, plusieurs fois, tardé à régler le montant des cotisations et indemnités réclamées. Elle a formé opposition au commandement de payer qui lui a été adressé en lien avec son obligation envers la demanderesse, sans motiver son opposition. La demanderesse a établi, par décompte, les versements de la défenderesse et le montant de sa dette envers celle-ci, selon le courrier de décompte final du 17 juin 2024 qui n’a pas été contesté par la défenderesse.</w:t>
      </w:r>
    </w:p>
    <w:p>
      <w:r>
        <w:rPr>
          <w:b/>
        </w:rPr>
        <w:t>E. 10.2</w:t>
      </w:r>
    </w:p>
    <w:p>
      <w:r>
        <w:t>S’agissant des frais administratifs, les art. 66 al. 1 LPP et 331 al. 3 CO fixent le principe de la parité des cotisations dans les domaines, respectivement obligatoire et surobligatoire. Ces deux dispositions n’exigent toutefois qu’une parité collective ou relative et non pas une parité individuelle : la somme des cotisations de l’employeur doit être au moins égale à la somme des cotisations des salariés. Cela n’exclut cependant pas que certains salariés aient à payer davantage que les autres, voire plus que ce que l’employeur verse pour eux personnellement, notamment s’ils occasionnent un travail administratif tout particulier, par exemple pour le versement anticipé ou la mise en gage de moyens de prévoyance tendant à l’acquisition de la propriété du logement (ATF 124 II 570 consid. 2). Si tel est le cas, ni les art. 66 al. 1 LPP et 331 al. 3 CO, ni le principe d’égalité ne s’opposent au fait que les frais découlant d’une charge administrative excédant la mesure ordinaire soient mis à la charge de celui (salarié ou employeur) qui les occasionne. Cependant, comme il est difficile, notamment pour des raisons de praticabilité et de sécurité du droit, de faire la différence au cas par cas entre le travail administratif occasionné par une démarche ordinaire et celui causé par une démarche dépassant ce cadre basique – d’autant que le travail en résultant devrait faire l’objet d’un prélèvement individuel dont le montant serait fonction de l’excès de travail administratif qu’il conviendrait de distinguer préalablement, alors que cette limite n’est pas évidente – les impératifs liés à une conduite rationnelle de l’administration imposent de permettre une large forfaitisation des frais administratifs, à la condition que ces derniers soient prévus dans un règlement (lors de l’adoption duquel les employeurs comme les salariés peuvent de toute manière exercer leur influence, conformément à l’art. 51 LPP). On précisera que cette exigence d’une base réglementaire pour la perception de frais administratifs – qui</w:t>
      </w:r>
    </w:p>
    <w:p>
      <w:r>
        <w:t>A/367/2026 - 8/12 - concrétise les principes de gestion paritaire des institutions de prévoyance (art. 51 LPP) et d’égalité de traitement des destinataires – s’applique non seulement à la prévoyance obligatoire mais aussi surobligatoire (ATF 124 II 570 consid. 2 et 3 ; cf. aussi les arrêts du Tribunal fédéral B 44/00 du 19 mars 2001 et 9C_687/2017 du 2 février 2018). En revanche, il est interdit de reporter sur les assurés des frais liés à des vérifications relatives aux prestations dans le cadre de la prévoyance minimale LPP (Isabelle VETTER-SCHREIBER, Berufliche Vorsorge, n. 4 ad art. 66 LPP et les références). La perception de frais administratifs est possible pour autant qu’elle figure dans le règlement concernant les frais. En l’occurrence, le règlement concernant les frais de gestion prévoit, sous ch. 4 « Encaissement », la facturation de frais pour mise en demeure de CHF 100.-, pour prolongation du délai de paiement de CHF 200.-, pour réquisition de poursuite de CHF 600.- et pour mainlevée d’opposition de CHF 1'000.-. Les frais de résiliation du contrat, selon ch. 6, s’élèvent, au minimum, à CHF 700 -. Les DGCA prévoient également sous ch. 7 que si un versement n’est pas effectué dans les délais l’employeur est tenu de payer à la fondation des intérêts dont le montant est fixé par cette dernière. Si ni la preuve d’un intérêt moratoire conventionnel (en dérogation à l’art. 104 al. 1 CO), ni la preuve d’un intérêt conventionnel supérieur à 5% (au sens de l’art. 104 al. 2 CO) ne sont apportées par le créancier, l’intérêt moratoire légal de 5% est applicable en vertu de l’art. 104 al. 1 CO. Compte tenu de ce qui précède, la chambre de céans considère que le règlement concernant les frais autorise la demanderesse à réclamer le paiement, non seulement des primes échues, mais également le montant des frais de rappel, des frais d’annulation du contrat, des frais de réquisition de poursuite et de mainlevée. Les conditions générales permettent à la demanderesse de réclamer un intérêt dont la quotité n’est pas fixée et qui sera donc plafonné au taux de l’intérêt légal, soit 5%.</w:t>
      </w:r>
    </w:p>
    <w:p>
      <w:r>
        <w:rPr>
          <w:b/>
        </w:rPr>
        <w:t>E. 10.3</w:t>
      </w:r>
    </w:p>
    <w:p>
      <w:r>
        <w:t>Dans son extrait de compte du 17 juin 2024 avec calcul provisoire des intérêts pour la période allant du 1er janvier au 13 juillet 2024, la demanderesse a récapitulé le report de solde de CHF 24’583.25 auquel elle a ajouté des frais de rappel par CHF 100.-, puis elle a récapitulé les contributions dues, soit CHF 7’701.60 et CHF 5’134.40, auxquelles elle a ajouté les frais de résiliation par CHF 700.-. Le montant des frais de rappel par CHF 100.- et des frais de résiliation par CHF 700.- correspond au montant prévu dans le règlement des frais de gestion, sous ch. 4. À cela s’ajoute un montant d’intérêt de CHF 589.73 correspondant à un taux d’intérêt de 4% pour la période allant du 31 décembre 2023 au 13 juillet 2024, étant rappelé qu’il est inférieur au taux d’intérêt moratoire maximum de 5%. Le total des montants dus par la défenderesse à la demanderesse ressort de l’extrait des primes susmentionné et des documents fournis par cette dernière ; la chambre de céans constate que ces chiffres n’ont pas été contestés par la défenderesse et</w:t>
      </w:r>
    </w:p>
    <w:p>
      <w:r>
        <w:t>A/367/2026 - 9/12 - considère que ces documents présentent un degré de vraisemblance prépondérante ; partant, le montant réclamé, qui correspond à la somme des contributions, des frais de rappel, des frais de résiliation et des intérêts de retard, soit CHF 38'809.- doit être admis. Dans les dernières conclusions de sa demande en paiement, la demanderesse mentionne qu’un acompte de CHF 3’000.- a été versé par la défenderesse, ce qui diminue le montant dû à CHF 35'809.-. Elle a toutefois ajouté les frais du plan de remboursement par acomptes par CHF 450.-, ce qui est prévu par le ch. 4 du règlement des frais de gestion lorsque le montant dû est supérieur à CHF 10'000.- et inférieur à CHF 50'000.-, ainsi que les frais de poursuite par CHF 104.-, ce qui est également prévu par la même disposition contractuelle. Au total, c’est donc un montant de CHF 36'363.-, dont la demanderesse réclame le paiement à la défenderesse. Les calculs étant corrects et correspondant aux obligations admises par la défenderesse, par signature du contrat d’adhésion, cette dernière sera condamnée à payer le montant réclamé par la demanderesse.</w:t>
      </w:r>
    </w:p>
    <w:p>
      <w:r>
        <w:rPr>
          <w:b/>
        </w:rPr>
        <w:t>E. 11</w:t>
      </w:r>
    </w:p>
    <w:p>
      <w:r>
        <w:t>avril 1889 (LP - RS 281.1) (Pierre-Robert GILLIÉRON,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autrement dit, dont les décisions sont susceptibles d’un recours administratif auprès d’une autorité fédérale ou d’un recours de droit administratif (GILLIÉRON, op. cit., p. 1227 ; Carl JAEGER,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 PA - RS 172.021). La chambre des assurances sociales statuant en dernière instance cantonale et dans l’accomplissement de tâches de droit public peut, selon ce qui précède, prononcer la mainlevée définitive d’une opposition à un commandement de payer puisque,</w:t>
      </w:r>
    </w:p>
    <w:p>
      <w:r>
        <w:t>A/367/2026 - 10/12 -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À teneur de l’art. 88 al. 2 LP, le droit du créancier de requérir la continuation de la poursuite se périme par un an à compter de la notification du commandement de payer (phr. 1) ; si une opposition a été formée, ce délai ne court pas entre l’introduction de la procédure judiciaire ou administrative et le jugement définitif (phr. 2). En l’occurrence, le commandement de payer a été notifié à la défenderesse le 5 mars 2025, date à partir de laquelle le délai de péremption d’un an a commencé à courir (ATF 125 III 45 consid. 3b). Par conséquent, la poursuite n’était pas périmée lorsque la demanderesse a saisi la chambre de céans, le 30 janvier 2026. En outre, la défenderesse n’a soulevé aucune exception énumérée à l’art. 81 LP (extinction de la dette, obtention d’un sursis ou de la prescription) et n’a réagi, ni aux mises en demeure de la demanderesse, ni aux courriers de la chambre de céans. La mainlevée définitive de l’opposition au commandement de payer sera ainsi prononcée à hauteur de CHF 36'363.- dans la poursuite n° 2_____ avec un intérêt moratoire légal de 5% dès le 14 juillet 2025. En ce qui concerne les frais de poursuite, ils sont d'office supportés par le débiteur lorsque la poursuite aboutit (JdT 1974 III 32), comme c’est le cas en l’espèce.</w:t>
      </w:r>
    </w:p>
    <w:p>
      <w:r>
        <w:rPr>
          <w:b/>
        </w:rPr>
        <w:t>E. 12</w:t>
      </w:r>
    </w:p>
    <w:p>
      <w:r>
        <w:t>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Une indemnité est allouée au recourant qui obtient gain de cause (art. 89H al. 3 LPA). En l’occurrence, il ressort des pièces versées au dossier que la défenderesse a constamment tardé à payer les cotisations dues et ce avant même le dépôt de l’action en paiement. Elle s'est opposée au commandement de payer sans en motiver les raisons et n'a pas répondu aux mises en demeure de la demanderesse, pas plus qu'elle n'a contesté devoir les montants réclamés. Elle n’a fourni aucune explication pour n’avoir pas rempli ses obligations.</w:t>
      </w:r>
    </w:p>
    <w:p>
      <w:r>
        <w:t>A/367/2026 - 11/12 - Dès lors et conformément à la jurisprudence citée supra, la chambre de céans considère que la défenderesse a agi avec légèreté et peut donc être condamnée à payer des dépens à la demanderesse. Compte tenu des démarches effectuées par la demanderesse, soit le dépôt d'une action en paiement, dont le coût est également fixé par le règlement de gestion soit CHF 1'500.-, la chambre de céans fixera le montant des dépens à CHF 1'500.-.</w:t>
      </w:r>
    </w:p>
    <w:p>
      <w:r>
        <w:rPr>
          <w:b/>
        </w:rPr>
        <w:t>E. 13</w:t>
      </w:r>
    </w:p>
    <w:p>
      <w:r>
        <w:t>L’art. 89H al. 1 LPA prévoit quant à lui que la procédure est gratuite pour les parties, sous réserve de l’al. 4 (relatif à l’assurance-invalidité).</w:t>
      </w:r>
    </w:p>
    <w:p>
      <w:r>
        <w:t>A/367/2026 - 12/12 -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