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ATAS/288/2025 vom 9. Dezember 2024</w:t>
      </w:r>
    </w:p>
    <w:p>
      <w:r>
        <w:t>GE Cour de justice, 2024-12-09, FR</w:t>
      </w:r>
    </w:p>
    <w:p>
      <w:r>
        <w:rPr>
          <w:b/>
        </w:rPr>
        <w:t xml:space="preserve">Quelle: </w:t>
      </w:r>
      <w:r>
        <w:t>https://mcp.opencaselaw.ch/entscheid/ge_gerichte_ATAS_288_2025</w:t>
      </w:r>
    </w:p>
    <w:p>
      <w:r>
        <w:t>FR: GE_GERICHTE ATAS/288/2025 du 9 décembre 2024</w:t>
      </w:r>
    </w:p>
    <w:p>
      <w:r>
        <w:t>IT: GE_GERICHTE ATAS/288/2025 del 9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A/566/2025 - 3/5 -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le recours est recevable (art. 56 ss LPGA et 62 ss de la loi sur la procédure administrative du 12 septembre 1985 - LPA - E 5 10).</w:t>
      </w:r>
    </w:p>
    <w:p>
      <w:r>
        <w:rPr>
          <w:b/>
        </w:rPr>
        <w:t>E. 2.1</w:t>
      </w:r>
    </w:p>
    <w:p>
      <w:r>
        <w:t>Aux termes de l’art. 14 al. 1 LPA (applicable par renvoi de l'art. 89A LPA),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le cas échéant, être prononcée jusqu’à droit connu sur ces questions. L'art. 14 al. 1 LPA est une norme potestative et son texte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(art. 29 al. 1 Cst.). Interprété à la lumière de ce dernier principe, l'art. 14 al. 1 LPA interdit d'attendre la décision d'une autre autorité, même si celle-ci est susceptible de fournir une solution au litige, si ledit litige peut être tranché sans délai sur la base d'autres motifs. Cette disposition est une norme potestative et son texte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tel que prévu par l'art. 29 al. 1 de la Constitution fédérale de la Confédération suisse du 18 avril 1999 (Cst. - RS 101). Interprété à la lumière de ce dernier principe, l'art. 14 al. 1 LPA interdit ainsi d'attendre la décision d'une autre autorité, même si celle-ci est susceptible de fournir une solution au litige, si ledit litige peut être tranché sans délai sur la base d'autres motifs (Stéphane GRODECKI/Romain JORDAN, Code annoté de procédure administrative genevoise, 2017, n. 203 s. ad art. 14 LPA).</w:t>
      </w:r>
    </w:p>
    <w:p>
      <w:r>
        <w:t>A/566/2025 - 4/5 -</w:t>
      </w:r>
    </w:p>
    <w:p>
      <w:r>
        <w:rPr>
          <w:b/>
        </w:rPr>
        <w:t>E. 2.2</w:t>
      </w:r>
    </w:p>
    <w:p>
      <w:r>
        <w:t>Aux termes de l’art 8 al. 1 let. e LACI, l’assuré a droit à l’indemnité de chômage, entre autres conditions,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(art. 13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d'une maladie, à la condition qu’elles aient été domiciliées en Suisse pendant la période correspondante (art. 14 al. 1 let. b LACI). Des délais-cadres de deux ans s’appliquent aux périodes d’indemnisation et de cotisation, sauf disposition contraire de la loi (art. 9 al. 1 LACI).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w:t>
      </w:r>
    </w:p>
    <w:p>
      <w:r>
        <w:rPr>
          <w:b/>
        </w:rPr>
        <w:t>E. 2.3</w:t>
      </w:r>
    </w:p>
    <w:p>
      <w:r>
        <w:t>En l'espèce, l'intimée a demandé la suspension de la présente procédure jusqu'à ce que la question de la date de placement à l'OCE soit définitivement tranchée, le recourant s'opposant à une telle suspension. La procédure pendante devant l'OCE concerne la date de placement du recourant, que le recourant a demandé à ce dernier de faire rétroagir au 21 octobre 2024. L'OCE a opposé un refus à cette demande dans une première décision, contre laquelle le recourant a élevé une opposition. Or, la date de placement est directement pertinente pour la fixation du délai-cadre de cotisation et est, partant, nécessaire pour déterminer si le recourant remplit la condition d'une activité minimale de douze mois pendant ledit délai ou celle de libération de ladite condition en raison d'une maladie. Par ailleurs, il n'appartient pas à la chambre de céans, autorité de recours contre les décisions de l'OCE en matière d'assurance-chômage, de se prononcer avant que ce dernier n'ait tranché l'opposition, étant relevé que l'argumentation du recourant dans la présente procédure est précisément la même que celle présentée à l'OCE. Il se justifie par conséquent de suspendre la procédure jusqu'à droit connu dans la procédure d'opposition contre la décision de l'OCE du 24 janvier 2025.</w:t>
      </w:r>
    </w:p>
    <w:p>
      <w:r>
        <w:rPr>
          <w:b/>
        </w:rPr>
        <w:t>E. 3</w:t>
      </w:r>
    </w:p>
    <w:p>
      <w:r>
        <w:t>La suite de la procédure est réservée.</w:t>
      </w:r>
    </w:p>
    <w:p>
      <w:r>
        <w:t>A/566/2025 - 5/5 -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