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ATAS/288/2014 vom 12. März 2014</w:t>
      </w:r>
    </w:p>
    <w:p>
      <w:r>
        <w:t>GE Cour de justice, 2014-03-12, FR</w:t>
      </w:r>
    </w:p>
    <w:p>
      <w:r>
        <w:rPr>
          <w:b/>
        </w:rPr>
        <w:t xml:space="preserve">Quelle: </w:t>
      </w:r>
      <w:r>
        <w:t>https://mcp.opencaselaw.ch/entscheid/ge_gerichte_ATAS_288_2014</w:t>
      </w:r>
    </w:p>
    <w:p>
      <w:r>
        <w:t>FR: GE_GERICHTE ATAS/288/2014 du 12 mars 2014</w:t>
      </w:r>
    </w:p>
    <w:p>
      <w:r>
        <w:t>IT: GE_GERICHTE ATAS/288/2014 del 12 marzo 2014</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le délai prescrits, le recours est recevable (art. 56 à 61 et 38 LPGA).</w:t>
      </w:r>
    </w:p>
    <w:p>
      <w:r>
        <w:rPr>
          <w:b/>
        </w:rPr>
        <w:t>E. 3</w:t>
      </w:r>
    </w:p>
    <w:p>
      <w:r>
        <w:t>L’objet du litige porte sur le droit de la recourante à une rente de l’assurance- invalidité et/ou à des mesures de réadaptation professionnelle.</w:t>
      </w:r>
    </w:p>
    <w:p>
      <w:r>
        <w:rPr>
          <w:b/>
        </w:rPr>
        <w:t>E. 3.3</w:t>
      </w:r>
    </w:p>
    <w:p>
      <w:r>
        <w:t>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A/2448/2013 - 18/20 -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4</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w:t>
      </w:r>
    </w:p>
    <w:p>
      <w:r>
        <w:t>A/2448/2013 - 10/20 -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l’occurrence, il s’agit d’examiner le litige au regard des faits qui se sont produits jusqu’au jour où la décision querellée a été rendue, soit le 28 juin 2013.</w:t>
      </w:r>
    </w:p>
    <w:p>
      <w:r>
        <w:rPr>
          <w:b/>
        </w:rPr>
        <w:t>E. 4.2</w:t>
      </w:r>
    </w:p>
    <w:p>
      <w:r>
        <w:t>; ATF 126 V 353 consid. 5b).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Cette question relève d'une question de fait dans la mesure où il s'agit d'une appréciation concrète des circonstances et non de l'application des conséquences tirées exclusivement de l'expérience générale de la vie (ATF 133 V 504 consid. 3.2 p. 507 et les références). b) Une fois le statut déterminé, il convient de procéder au calcul du degré d’invalidité. Chez les assurés actifs, le degré d'invalidité doit être évalué sur la base d'une comparaison des revenus. Pour cela, le revenu que l'assuré aurait pu obtenir s'il n'était pas invalide est comparé avec celui qu'il pourrait obtenir en exerçant</w:t>
      </w:r>
    </w:p>
    <w:p>
      <w:r>
        <w:t>A/2448/2013 - 17/20 - l'activité qui peut raisonnablement être exigée de lui après les traitements et les mesures de réadaptation, sur un marché du travail équilibré. (méthode générale de comparaison des revenus; ATF 130 V 348 consid. 3.4, 128 V 30 consid. 1, 104 V 136 consid. 2a et 2b).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édité par l'Office fédéral de la statistique (ci-après :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Conformément à l'art. 28 al. 1 LAI, l'assuré a droit à un quart de rente s'il est invalide à 40% au moins, à une demi-rente s’il est invalide à 50%, à un trois-quarts de rente si son invalidité atteint au moins 60% et à une rente entière si son degré d’invalidité atteint 70%.</w:t>
      </w:r>
    </w:p>
    <w:p>
      <w:r>
        <w:rPr>
          <w:b/>
        </w:rPr>
        <w:t>E. 6</w:t>
      </w:r>
    </w:p>
    <w:p>
      <w:r>
        <w:t>a/aa)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w:t>
      </w:r>
    </w:p>
    <w:p>
      <w:r>
        <w:t>A/2448/2013 - 11/20 -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a/bb)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A ce jour, le Tribunal fédéral n’a cependant pas pris position sur cette controverse médicale (ATF 132 V 65 consid. 3.2 et 3.3).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Selon la jurisprudence, les troubles somatoformes douloureux n'entraînent pas, en règle générale, une limitation de longue durée de la capacité de travail pouvant conduire à une invalidité (ATF 130 V 354 consid. 2.2.3). Il existe une présomption</w:t>
      </w:r>
    </w:p>
    <w:p>
      <w:r>
        <w:t>A/2448/2013 - 12/20 - que les troubles somatoformes douloureux ou leurs effets peuvent être surmontés par un effort de volonté raisonnablement exigible (ATF 131 V 50). Pour les raisons qui viennent d’être exposées ci-dessus, il y a lieu de poser la même présomption en présence d'une fibromyalgie (ATF 132 V 65 consid. 4.2). Le Tribunal fédéral des assurances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354 et ATF 131 V 50). Il est légitime d'admettre que ces circonstances sont également susceptibles de fonder exceptionnellement un pronostic défavorable dans les cas de fibromyalgie (ATF 132 V 65 consid. 4.2). A cet égard, on retiendra, au premier plan, la présence d'une comorbidité psychiatrique importante par sa gravité, son acuité et sa durée. Peut constituer une telle comorbidité un état dépressif majeur (voir en matière de troubles somatoformes douloureux ATF 130 V 358 consid. 3.3.1 et la référence). Cependant,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les références).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w:t>
      </w:r>
    </w:p>
    <w:p>
      <w:r>
        <w:t>A/2448/2013 - 13/20 - Une expertise psychiatrique est, en principe, nécessaire quand il s'agit de se prononcer sur l'incapacité de travail que les troubles somatoformes douloureux sont susceptibles d'entraîner (ATF 130 V 353 consid. 2.2.2 et 399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w:t>
      </w:r>
    </w:p>
    <w:p>
      <w:r>
        <w:t>A/2448/2013 - 14/20 -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En l'espèce, les diagnostics retenus par les différents médecins et les Drs G________ et H________, médecins SMR, concordent. Diffère en revanche, l’impact retenu de ceux-ci sur la capacité de travail de la recourante. Le médecin- traitant de l’intéressée considère que la capacité de travail est nulle, quelle que soit l’activité exercée, alors que les médecins du SMR, à l’issue de leur examen, ont</w:t>
      </w:r>
    </w:p>
    <w:p>
      <w:r>
        <w:t>A/2448/2013 - 15/20 - estimé que la recourante était en mesure d’exercer une activité adaptée à un taux de 80%. Il convient dès lors d’examiner les rapports des médecins intervenants afin d’en déterminer la valeur probante. Le Dr L__________ a dans un premier temps affirmé avec constance que sa patiente était totalement incapable de travailler, quelle que soit l’activité exercée, mais n’a pas expliqué en quoi les affections de sa patiente ne permettaient pas un travail à temps partiel. Pour justifier sa position, il a la plupart du temps invoqué les limitations et douleurs de sa patiente, sans donner plus de détails. Dans son rapport du 17 septembre 2011, le médecin-traitant de la recourante a ensuite mentionné une nette amélioration au niveau des douleurs ressenties par sa patiente, mais a néanmoins exclu toute amélioration de sa capacité de travail. Il a également relevé de nombreuses limitations fonctionnelles, sans se prononcer précisément sur certaines d’entre elles, et a indiqué que les capacités de compréhension, d’adaptation et de résistance étaient limitées en raison d’un problème de langue. Enfin, le 11 mars 2012, il a estimé qu’il n’était pas possible de connaître la capacité de travail de sa patiente dans une activité adaptée, « tant la problématique douloureuse pluri-focale et complexe limite une réponse précise dans ce sens». La Dresse W_________, qui suit la recourante uniquement pour le problème de l’épaule, indique en date du 23 janvier 2012 qu’elle n’a pas revu la patiente récemment, mais qu’au vu du diagnostic de déchirure du tendon du sus-épineux avec présence d’un éperon sous-acromial de l’épaule droite, l’évolution est généralement lentement favorable et le pronostic bon. Au vu des douleurs et du handicap fonctionnel, l’incapacité de travail est de 100% dans une activité adaptée. Les médecins du SMR de leur côté ont retenu sur le plan somatique, - au vu du status clinique et des examens radiologiques -, les limitations fonctionnelles suivantes : nécessité de pouvoir alterner 2 fois par heure la position assise et debout, pas de soulèvement ou de port régulier de charges supérieure à 5 kg, pas de travail en porte-à-faux statique prolongé du tronc, pas d’exposition à des vibrations, pas d’élévation ou d’abduction des épaules à plus de 60°, pas de position debout ou de marche de plus d’une demi-heure. Au status psychiatrique, le Dresse H________ n’a pas relevé de perte de l’élan vital, de diminution du plaisir, de ruminations, de sentiment de culpabilité, de dévalorisation ou de persécution, ni de symptômes de la lignée dépressive ou psychotique, ni d’anxiété généralisée. Elle n’a pas non plus objectivé de symptômes en faveur d’un diagnostic de syndrome douloureux somatoforme persistant. Aucun diagnostic psychiatrique n’a été retenu. En définitive, les médecins du SMR ont conclu à une capacité de travail nulle dans l’activité habituelle, en raison des troubles ostéo-articulaires, mais de 80% dans une activité adaptée respectant les limitations fonctionnelles, ce depuis le 12 août 2010. La Cour de céans constate que le rapport du SMR se fonde sur une anamnèse détaillée, un examen clinique de la recourante, qu’il tient compte des plaintes rapportées par celle-ci et a été établi en pleine connaissance du dossier. Leurs</w:t>
      </w:r>
    </w:p>
    <w:p>
      <w:r>
        <w:t>A/2448/2013 - 16/20 - conclusions sont sérieusement motivées et le rapport ne contient pas de contradictions, de sorte qu’il remplit tous les critères jurisprudentiels pour se voir accorder pleine valeur probante. L’appréciation contraire des médecins traitants ne permet pas de remettre en cause les conclusions du SMR quant à l’exigibilité dans une activité adaptée. Au vu de ce qui précède, il apparaît que c’est à juste titre que l’intimé a retenu une capacité de travail de 80% dans une activité adaptée.</w:t>
      </w:r>
    </w:p>
    <w:p>
      <w:r>
        <w:rPr>
          <w:b/>
        </w:rPr>
        <w:t>E. 9</w:t>
      </w:r>
    </w:p>
    <w:p>
      <w:r>
        <w:t>Il convient à présent de se prononcer sur le calcul du degré d'invalidité effectué par l'OAI. a) En premier lieu, il faut examiner quelle méthode d'évaluation de l'invalidité (méthode générale de comparaison des revenus, méthode mixte, méthode spécifique) doit être appliquée dans le cas présent.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9C_435/2007, consid. 3.3; ATF 130 V 393, consid. 3.3 et les arrêts cités; ATF 125 V 150 consid. 2c, 117 V 194 ss consid. 3b et les références citées; VSI 1997 p. 301 ss consid. 2b, 1996 p. 209 consid. 1c, et les références citées ; ATF 9C_321/2009 du 22 juillet 2009, consid.</w:t>
      </w:r>
    </w:p>
    <w:p>
      <w:r>
        <w:rPr>
          <w:b/>
        </w:rPr>
        <w:t>E. 10</w:t>
      </w:r>
    </w:p>
    <w:p>
      <w:r>
        <w:t>En l'espèce, la Cour de céans constate que l’intimé – qui semble avoir considéré la recourante comme une ménagère mixte (active à 30%) tout au long de la procédure - a procédé au calcul du degré d’invalidité selon la méthode générale de comparaison des revenus, ce sans explication. Ce qui implique qu’il a finalement estimé que l’assurée aurait repris une activité lucrative à 100% si son état de santé le lui avait permis. Au vu de la jurisprudence susmentionnée, il apparaît avec une vraisemblance prépondérante que - malgré le fait qu’elle ait travaillé pour la société Y__________ (Suisse) SA à un taux de 27% (12 heures de travail hebdomadaires alors que les heures de travail hebdomadaires normales sont au nombre de 44) durant au moins quatre ans (variations entre les déclarations de la recourante – enquête sur le ménage - et celles de son employeur) pour un salaire annuel moyen d’environ 11'500 fr. (moyenne des années 2008, 2009 et 2010) -, la recourante aurait exercé une activité professionnelle à taux plein si elle en avait eu l’occasion. Le travail à plein temps exercé au sein de X__________ en 2002 et 2003, la situation économique précaire du couple et l’impact négatif de cette situation sur l’équilibre de la famille renforcent en effet cette hypothèse. Dès lors, l’intimé était fondé à calculer le degré d’invalidité de la recourante selon la méthode générale de comparaison des revenus. En l’absence d’une reprise d’activité, c’est à bon droit que l’intimé a fixé le revenu avec et sans invalidité en se référant aux salaires statistiques, plus particulièrement au tableau TA1 de l’ESS. Le moment déterminant pour procéder à la comparaison des gains est 2011, année de l’ouverture du droit éventuel à la rente (art. 28 al. 1 let. b LAI). Le salaire de référence est en l’occurrence celui que peuvent réaliser les femmes dans des activités simples et répétitives (ESS tableau TA1, niveau 4). Le niveau 4 de qualification des ESS s'applique en principe à toutes les assurées qui ne peuvent</w:t>
      </w:r>
    </w:p>
    <w:p>
      <w:r>
        <w:t>A/2448/2013 - 19/20 -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Le salaire de référence s’élève à 4'225 fr. par mois en 2010 pour 40 heures de travail hebdomadaire et à 4'404 fr. par mois pour une durée de travail de 41,7 heures en 2010 et 2011 (cf. La Vie économique 11-2011, tableau B.9.2), soit 52’855 fr. par an. Réactualisé à 2011 selon l’indice des salaires nominaux, le revenu s’élève à 53'364 fr (52’855/2284 x 2306 ; cf. La Vie économique, 7/8 2012 p. 91, tableau 10.3). Compte tenu d’une capacité de travail de 80 %, le salaire après invalidité s’élève à 38'422 fr. L’intimé a procédé à un abattement de 10 % sur le salaire statistique, pour tenir compte de l’âge de la recourante et des limitations fonctionnelles. Eu égard à l’ensemble des circonstances, notamment de l’âge de la recourante (53 ans au moment de la décision litigieuse) et des nombreuses limitations fonctionnelles qui contribuent à désavantager la recourante par rapport à des travailleurs jouissant d’une pleine capacité de travail et la contraindre à des concessions salariales importantes, la Cour de céans considère qu’un abattement de 15 % est plus approprié au cas particulier (cf. ATF 9C_673/2010). Cela étant, force est de constater que même avec un tel abattement, le degré d’invalidité ne s’élève qu’à 32 %, insuffisant pour ouvrir droit à une rente d’invalidité. Pour le surplus, le refus d’octroyer des mesures de réadaptation doit être confirmé, dans la mesure où elles ne seraient pas de nature à améliorer la capacité de gain de la recourante.</w:t>
      </w:r>
    </w:p>
    <w:p>
      <w:r>
        <w:rPr>
          <w:b/>
        </w:rPr>
        <w:t>E. 11</w:t>
      </w:r>
    </w:p>
    <w:p>
      <w:r>
        <w:t>Mal fondé, le recours doit être rejeté.</w:t>
      </w:r>
    </w:p>
    <w:p>
      <w:r>
        <w:rPr>
          <w:b/>
        </w:rPr>
        <w:t>E. 12</w:t>
      </w:r>
    </w:p>
    <w:p>
      <w:r>
        <w:t>La procédure de recours en matière de contestations portant sur l'octroi ou le refus de prestations d'assurance-invalidité est soumise à des frais de justice (cf. art. 69 al. 1bis LAI). L'émolument, fixé à 200 fr., est mis à la charge de la recourante, qui succombe. à voir, vu aide sociale.</w:t>
      </w:r>
    </w:p>
    <w:p>
      <w:r>
        <w:t>A/2448/2013 - 20/20 -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