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ATAS/288/2011 vom 23. März 2011</w:t>
      </w:r>
    </w:p>
    <w:p>
      <w:r>
        <w:t>GE Cour de justice, 2011-03-23, FR</w:t>
      </w:r>
    </w:p>
    <w:p>
      <w:r>
        <w:rPr>
          <w:b/>
        </w:rPr>
        <w:t xml:space="preserve">Quelle: </w:t>
      </w:r>
      <w:r>
        <w:t>https://mcp.opencaselaw.ch/entscheid/ge_gerichte_ATAS_288_2011</w:t>
      </w:r>
    </w:p>
    <w:p>
      <w:r>
        <w:t>FR: GE_GERICHTE ATAS/288/2011 du 23 mars 2011</w:t>
      </w:r>
    </w:p>
    <w:p>
      <w:r>
        <w:t>IT: GE_GERICHTE ATAS/288/2011 del 23 marzo 2011</w:t>
      </w:r>
    </w:p>
    <w:p>
      <w:pPr>
        <w:pStyle w:val="Heading2"/>
      </w:pPr>
      <w:r>
        <w:t>Erwägungen</w:t>
      </w:r>
    </w:p>
    <w:p>
      <w:r>
        <w:rPr>
          <w:b/>
        </w:rPr>
        <w:t>E. 1</w:t>
      </w:r>
    </w:p>
    <w:p>
      <w:r>
        <w:t>Conformément à l'art. 56 V al. 1 let. a ch. 2 de la loi sur l'organisation judiciaire, du 22 novembre 1941 en vigueur jusqu’au 31 décembre 2010 (aLOJ; RS E 2 05), le TCAS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 ciales de la Cour de justice, laquelle reprend la procédure pendante devant le TCAS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(ATF 130 V 446 consid. 1 et ATF 129 V 4 consid. 1.2). Les modifications légales contenues dans la LPGA cons- tituent, en règle générale, une version formalisée dans la loi, de la jurisprudence re- lative aux notions correspondantes avant l'entrée en vigueur de la LPGA; il n'en dé- coule aucune modification du point de vue de leur contenu, de sorte que la jurispru- dence développée à leur propos peut être reprise et appliquée (ATF 130 V 345 consid. 3).</w:t>
      </w:r>
    </w:p>
    <w:p>
      <w:r>
        <w:t>A/2730/2010 - 6/11 -</w:t>
      </w:r>
    </w:p>
    <w:p>
      <w:r>
        <w:rPr>
          <w:b/>
        </w:rPr>
        <w:t>E. 3</w:t>
      </w:r>
    </w:p>
    <w:p>
      <w:r>
        <w:t>Le délai de recours est de 30 jours (art. 60 al. 1 LPGA). Interjeté dans la forme et le délai prévus par la loi, le recours est recevable, en vertu des art. 56 et ss LPGA.</w:t>
      </w:r>
    </w:p>
    <w:p>
      <w:r>
        <w:rPr>
          <w:b/>
        </w:rPr>
        <w:t>E. 4</w:t>
      </w:r>
    </w:p>
    <w:p>
      <w:r>
        <w:t>Le litige porte sur le point de savoir si l'intimé était fondé à refuser de notifier au recourant sa décision du 11 août 2008.</w:t>
      </w:r>
    </w:p>
    <w:p>
      <w:r>
        <w:rPr>
          <w:b/>
        </w:rPr>
        <w:t>E. 5</w:t>
      </w:r>
    </w:p>
    <w:p>
      <w:r>
        <w:t>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 ressé (al. 3). Ce même principe est repris en droit cantonal à l’art. 47 de la loi sur la procédure administrative, du 12 septembre 1985 (LPA; RS E 5 10). En vertu de l’art. 37 al. 1 LPGA et de l’art. 9 al. 1 LPA, une partie peut, en tout temps, se faire représenter, à moins qu’elle ne doive agir personnellement, ou se faire assister, pour autant que l’urgence d’une enquête ne l’exclue pas. Tant que la partie ne révoque pas la procuration, l’assureur adresse ses communications au mandataire (art. 37 al. 3 LPGA). Il s'agit là d'un principe général du droit des assu- rances sociales, commandé par la sécurité du droit, qui sert à éviter d’emblée tout doute sur la question de savoir si les communications doivent être notifiées à la par- tie elle-même ou à son représentant ainsi qu’à établir une règle claire quant à la no- tification déterminante pour le calcul du délai de recours (ATF 99 V 177 consid 3; DTA 2002 n°9 p. 66 consid. 2; RAMA 1997 n° U 288, p. 442 consid. 2b; ATF non publié 9C_791/2010 du 10 novembre 2010, consid. 2.2). Le fardeau de la preuve de la notification d'un acte et de la date de celle-ci incombe en principe à l'autorité qui entend en tirer une incidence juridique. L'autorité sup- porte donc les conséquences de l'absence de preuve en ce sens que si la notification, ou sa date, sont contestées, et qu'il existe effectivement un doute à ce sujet, il y a lieu de se fonder sur les déclarations du destinataire de l'envoi (ATF 129 I 8 consid. 2.2; ATF 124 V 400 consid. 2a et les références).</w:t>
      </w:r>
    </w:p>
    <w:p>
      <w:r>
        <w:rPr>
          <w:b/>
        </w:rPr>
        <w:t>E. 6</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 compétence qualifiée de l'autorité qui a rendu la décision sont des motifs de nullité (ATF 116 Ia 215 consid. 2c et l'arrêt cité). Cependant, la jurisprudence n'attache pas nécessairement la nullité à l'existence de vices dans la notification; la protection des parties est suffisamment garantie lorsque la notification irrégulière atteint son but malgré cette irrégularité (ATF non publié 8C_188/2007 du 4 mars 2008, consid. 4.1.2).</w:t>
      </w:r>
    </w:p>
    <w:p>
      <w:r>
        <w:t>A/2730/2010 - 7/11 - Le principe que la notification irrégulière d'une décision ne doit entraîner aucun préjudice pour l'intéressé découle des règles de la bonne foi, qui imposent des de- voirs à l'autorité dans la conduite d'une procédure (ATF 123 II 231 consid. 8b).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 tion agit de manière contraire à la bonne foi. Elle doit en effet faire preuve de dili- gence (ATF 129 II 193 consid. 1 et ATF 119 IV 330 consid. 1c) et est tenue de se renseigner sur l'existence et le contenu de la décision dès qu'elle peut en soupçonner le prononcé (ATF non publié 2C_318/2009 du 10 décembre 2009, consid. 3.3). Ainsi, l'intéressé doit agir dans un délai raisonnable dès qu'il a connaissance, de quelque manière que ce soit, de la décision qu'il entend contester (ATF 122 I 97 consid. 3a/aa; ATF 111 V 149 consid. 4c et les références). Il y a lieu d'examiner, d'après les circonstances du cas concret, si la partie intéressée a réellement été induite en erreur par l'irrégularité de la notification et a, de ce fait, subi un préjudice (ATF 124 V 402 consid. 2a et ATF 111 V 149 consid. 4c ainsi que les références; RAMA 1997 n° U 288 p. 444 s. consid. 2b/bb). Cela signifie no- tamment qu'une décision, fût-elle notifiée de manière irrégulière, peut entrer en for- ce si elle n'est pas déférée au juge dans un délai raisonnable (SJ 2000 I p. 118). Les mêmes principes s'appliquent en cas de défaut de toute notification d'une déci- sion administrative. Tant qu'elle ne leur a pas été notifiée, la décision n'est pas nulle mais simplement inopposable à ceux qui auraient dû en être les destinataires et elle ne peut dès lors les lier (cf. MOOR, Droit administratif, 2ème éd., Berne 2002, p. 318 ss; ATFA non publié C 44/03 du 27 janvier 2004, consid. 2.2.1).</w:t>
      </w:r>
    </w:p>
    <w:p>
      <w:r>
        <w:rPr>
          <w:b/>
        </w:rPr>
        <w:t>E. 7</w:t>
      </w:r>
    </w:p>
    <w:p>
      <w:r>
        <w:t>En l’espèce, l’intimé ne conteste pas que, faute d’avoir notifié sa décision du</w:t>
      </w:r>
    </w:p>
    <w:p>
      <w:r>
        <w:rPr>
          <w:b/>
        </w:rPr>
        <w:t>E. 11</w:t>
      </w:r>
    </w:p>
    <w:p>
      <w:r>
        <w:t>août 2008, sans en reprendre le contenu. En définitive, il convient d’annuler la décision du 12 juillet 2010. Il appartiendra à l’intimé de procéder à une notification régulière de la décision du 11 août 2008. 9. Au vu de ce qui précède, le recours sera admis. Le recourant obtenant gain de cau- se, une indemnité de 1’500 fr. lui sera accordée à titre de participation à ses frais et dépens (art. 61 let. g LPGA). Le litige ne portant pas sur l’octroi ou le refus de pres- tations, il ne sera pas perçu d’émolument (art. 69 al. 1bis LAI a contrario), au vu du sort du recours, il y a lieu de condamner l'intimé au paiement d'un émolument de 500 fr.</w:t>
      </w:r>
    </w:p>
    <w:p>
      <w:r>
        <w:t>A/2730/2010 - 11/11 -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