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ATAS/287/2026 vom 2. April 2026</w:t>
      </w:r>
    </w:p>
    <w:p>
      <w:r>
        <w:t>GE Cour de justice, 2026-04-02, FR</w:t>
      </w:r>
    </w:p>
    <w:p>
      <w:r>
        <w:rPr>
          <w:b/>
        </w:rPr>
        <w:t xml:space="preserve">Quelle: </w:t>
      </w:r>
      <w:r>
        <w:t>https://mcp.opencaselaw.ch/entscheid/ge_gerichte_ATAS_287_2026</w:t>
      </w:r>
    </w:p>
    <w:p>
      <w:r>
        <w:t>FR: GE_GERICHTE ATAS/287/2026 du 2 avril 2026</w:t>
      </w:r>
    </w:p>
    <w:p>
      <w:r>
        <w:t>IT: GE_GERICHTE ATAS/287/2026 del 2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t>- 11/17-</w:t>
      </w:r>
    </w:p>
    <w:p>
      <w:r>
        <w:t>A/431/2026</w:t>
      </w:r>
    </w:p>
    <w:p>
      <w:r>
        <w:rPr>
          <w:b/>
        </w:rPr>
        <w:t>E. 1.3</w:t>
      </w:r>
    </w:p>
    <w:p>
      <w:r>
        <w:t>Interjeté dans la forme et le délai prévus par la loi – compte tenu des féries judiciaires –, le recours paraît prima facie recevable (art. 38 al. 4, 56 et 60 LPGA ; art. 89B de la loi sur la procédure administrative du 12 septembre 1985 [LPA - E 5 10]).</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de la loi fédérale sur l’assurance-invalidité du 19 juin 1959 [LAI - 831.20]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w:t>
      </w:r>
    </w:p>
    <w:p>
      <w:r>
        <w:t>- 12/17-</w:t>
      </w:r>
    </w:p>
    <w:p>
      <w:r>
        <w:t>A/431/2026 suspensif en cas de créances en restitution de prestations indûment perçues, n’est en revanche pas modifiée en vertu de cette harmonisation de la LPGA (cf. art. 49 al. 5 2e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2.2</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Dans le contexte de la révision du droit à la rente,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w:t>
      </w:r>
    </w:p>
    <w:p>
      <w:r>
        <w:t>- 13/17-</w:t>
      </w:r>
    </w:p>
    <w:p>
      <w:r>
        <w:t>A/431/2026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8C_739/2022 du</w:t>
      </w:r>
    </w:p>
    <w:p>
      <w:r>
        <w:rPr>
          <w:b/>
        </w:rPr>
        <w:t>E. 3</w:t>
      </w:r>
    </w:p>
    <w:p>
      <w:r>
        <w:t>En l’occurrence, à teneur des principes jurisprudentiels pertinents, il convient d’examiner si l’intimée a mis fin aux prestations temporaires de l'assurance- accidents de manière abusive, respectivement dans le seul but d'avancer autant que possible la fin du droit aux prestations temporaires d'assurance.</w:t>
      </w:r>
    </w:p>
    <w:p>
      <w:r>
        <w:rPr>
          <w:b/>
        </w:rPr>
        <w:t>E. 3.1</w:t>
      </w:r>
    </w:p>
    <w:p>
      <w:r>
        <w:t>La question du bien-fondé de la cessation du versement des indemnités journalières et du paiement des frais de traitement au 1er août 2025 est liée à celle de savoir si l’état de santé de la recourante était stabilisé à la date précitée. Selon l’art. 19 al. 1 LAA, le droit à la rente prend naissance dès qu’il n’y a plus lieu d’attendre de la continuation du traitement médical une sensible amélioration de l’état de l’assuré et que les éventuelles mesures de réadaptation de l’assurance-</w:t>
      </w:r>
    </w:p>
    <w:p>
      <w:r>
        <w:t>- 14/17-</w:t>
      </w:r>
    </w:p>
    <w:p>
      <w:r>
        <w:t>A/431/2026 invalidité ont été menées à terme. Le droit au traitement médical et aux indemnités journalières cesse dès la naissance du droit à la rente. Ce qu’il faut comprendre par sensible amélioration de l’état de santé au sens de l’art. 19 al. 1 LAA se détermine notamment en fonction de l’augmentation ou de la récupération probable de la capacité de travail réduite par l’accident, étant précisé que l’amélioration attendue par la continuation du traitement médical doit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;143 V 148 consid. 3.1.1 ; 134 V 109 consid. 4.1 et les références).</w:t>
      </w:r>
    </w:p>
    <w:p>
      <w:r>
        <w:rPr>
          <w:b/>
        </w:rPr>
        <w:t>E. 3.2</w:t>
      </w:r>
    </w:p>
    <w:p>
      <w:r>
        <w:t>L’intimée a retiré l'effet suspensif dans sa décision initiale du 7 août 2025 et dans sa décision sur opposition du 17 décembre 2025, lesquelles ont été rendues à l'issue d'une procédure d'instruction étendue, en particulier sur le plan médical. En effet, l’intimée a obtenu les rapports relatifs au suivi de la recourante aux HUG, a organisé un séjour au sein de la CRR afin de procéder à une évaluation pluridisciplinaire et à une rééducation intensive, et a demandé à son médecin-</w:t>
      </w:r>
    </w:p>
    <w:p>
      <w:r>
        <w:t>- 15/17-</w:t>
      </w:r>
    </w:p>
    <w:p>
      <w:r>
        <w:t>A/431/2026 conseil d’examiner personnellement l’intéressée. Le Dr K______ a notamment constaté que la médecin traitante n’avait pas demandé l’ENMG proposé à la CRR, de sorte qu’il a lui-même requis cet examen et mandaté le Dr N______. Enfin, dans le cadre de la procédure d’opposition, l’intimée a soumis les remarques de la recourante au Dr K______, lequel s’est à nouveau prononcé.</w:t>
      </w:r>
    </w:p>
    <w:p>
      <w:r>
        <w:rPr>
          <w:b/>
        </w:rPr>
        <w:t>E. 3.3</w:t>
      </w:r>
    </w:p>
    <w:p>
      <w:r>
        <w:t>L’intéressée a notamment soulevé les griefs de déni de justice formel et de violation du droit d’être entendue, reprochant à l’intimée d’avoir clôturé le cas par courrier du 2 juillet 2025 et d’avoir rendu une décision formelle le 7 août 2025 seulement, alors que la suppression des soins médicaux et des indemnités journalières avait produit ses effets dès le 1er août 2025. Elle a également contesté l’appréciation du médecin-conseil, relevant que ce dernier avait retenu une exigibilité entière sans perte de rendement tout en reconnaissant l’absence de position statique prolongée et la nécessité d’une alternance des positions assise et debout. Selon elle, une telle contrainte affectait l’organisation d’une journée de travail et remettait ainsi en cause l’absence de baisse de rendement. Elle a ajouté que la décision litigieuse n’avait pas non plus tenu compte des éléments de fonctionnement observés à la CRR, notamment le besoin de repos, la fatigue, le coût fonctionnel, la tolérance. De plus, le dossier attestait de troubles sphinctériens, lesquels pouvaient affecter sa capacité de gain, mais cet impact n’avait pas du tout été discuté dans la décision litigieuse. Ainsi, force est de constater que si la recourante reproche à l’intimée d’avoir clôturé son dossier, elle ne remet pas en cause la stabilisation de son cas au 1er août 2025, ni ne soutient que la continuation du traitement médical permettrait une sensible amélioration de son état.</w:t>
      </w:r>
    </w:p>
    <w:p>
      <w:r>
        <w:rPr>
          <w:b/>
        </w:rPr>
        <w:t>E. 3.4</w:t>
      </w:r>
    </w:p>
    <w:p>
      <w:r>
        <w:t>Les différents rapports médicaux au dossier ne permettent pas d’admettre, selon l’analyse sommaire effectuée dans le cadre de l’examen de la restitution éventuelle de l’effet suspensif au recours, que la stabilisation de l’état de santé n’est, sans aucun doute, pas atteinte. En effet, si les suivis des consultations des 23 janvier et 22 mars 2024 du Team rachis indiquent que la poursuite du traitement conservateur de physiothérapie était préconisée et, qu’en cas de persistance de la symptomatologie douloureuse lombaire mécanique basse et de la claudication radiculaire L3, une attitude chirurgicale pourrait être envisagée, aucune pièce au dossier ne laisse supposer qu’un tel traitement aurait par la suite été indiqué ou sérieusement envisagé. Il en va de même concernant la prise en charge interventionnelle incluse dans l’approche multimodale proposée au service d’anesthésiologie le 5 juillet 2024. La recourante ne soutient d’ailleurs pas que de tels traitements lui auraient depuis lors été conseillés.</w:t>
      </w:r>
    </w:p>
    <w:p>
      <w:r>
        <w:t>- 16/17-</w:t>
      </w:r>
    </w:p>
    <w:p>
      <w:r>
        <w:t>A/431/2026 De plus, il ressort du rapport de la CRR du 24 octobre 2024 et de ses annexes qu’aucune nouvelle intervention n’était proposée, seule la poursuite du traitement de physiothérapie pour les troubles de l’appareil locomoteur et les problèmes d’incontinence fécale occasionnels étant préconisée. Enfin, le rapport du 20 janvier 2026 de la Dre O______ ne comporte aucun argument permettant de retenir, prima facie, qu’il y aurait lieu d’attendre de la continuation du traitement médical une sensible amélioration de l’état de la patiente. La médecin traitante s’est en effet limitée à affirmer qu’une prise en charge spécialisée de la douleur, intégrée et au long cours, se justifiait, sans la moindre motivation quant aux bénéfices qui pourraient être attendus d’un tel traitement. Or, la jurisprudence exige, pour exclure une stabilisation de l’état de santé, qu’un traitement médical soit susceptible d’induire une amélioration significative de l’état de santé, avec un impact sur la capacité de travail. Un tel traitement n’est pas évoqué dans les différents avis médicaux au dossier, ni même allégué par la recourante.</w:t>
      </w:r>
    </w:p>
    <w:p>
      <w:r>
        <w:rPr>
          <w:b/>
        </w:rPr>
        <w:t>E. 3.5</w:t>
      </w:r>
    </w:p>
    <w:p>
      <w:r>
        <w:t>Dans ces conditions, il y a lieu de conclure que les chances de succès de la recourante sur le fond ne paraissent pas évidentes, prima facie et sans préjudice de l’examen au fond, l’intérêt de l’intimée au non-octroi de l’effet suspensif ou de toute autre mesure provisionnelle l’emporte sur celui de l’intéressée à obtenir le versement de prestations. En effet, l’issue de la procédure étant incertaine, il existe un risque important qu’elle ne puisse rembourser les prestations qui lui seraient versées à tort par l’intimée pendant la procédure.</w:t>
      </w:r>
    </w:p>
    <w:p>
      <w:r>
        <w:rPr>
          <w:b/>
        </w:rPr>
        <w:t>E. 4</w:t>
      </w:r>
    </w:p>
    <w:p>
      <w:r>
        <w:t>Partant, la demande de restitution de l’effet suspensif sera rejetée et la suite de la procédure réservée. Pour le surplus, la procédure est gratuite.</w:t>
      </w:r>
    </w:p>
    <w:p>
      <w:r>
        <w:t>- 17/17-</w:t>
      </w:r>
    </w:p>
    <w:p>
      <w:r>
        <w:t>A/431/2026 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