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ATAS/287/2020 vom 17. März 2020</w:t>
      </w:r>
    </w:p>
    <w:p>
      <w:r>
        <w:t>GE Cour de justice, 2020-03-17, FR</w:t>
      </w:r>
    </w:p>
    <w:p>
      <w:r>
        <w:rPr>
          <w:b/>
        </w:rPr>
        <w:t xml:space="preserve">Quelle: </w:t>
      </w:r>
      <w:r>
        <w:t>https://mcp.opencaselaw.ch/entscheid/ge_gerichte_ATAS_287_2020</w:t>
      </w:r>
    </w:p>
    <w:p>
      <w:r>
        <w:t>FR: GE_GERICHTE ATAS/287/2020 du 17 mars 2020</w:t>
      </w:r>
    </w:p>
    <w:p>
      <w:r>
        <w:t>IT: GE_GERICHTE ATAS/287/2020 del 17 marzo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A/2505/2019 - 4/12 -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60 al. 1 LPGA ; art. 89B de la loi sur la procédure administrative du 12 septembre 1985 – LPA ; RS/GE E 5 10).</w:t>
      </w:r>
    </w:p>
    <w:p>
      <w:r>
        <w:rPr>
          <w:b/>
        </w:rPr>
        <w:t>E. 5</w:t>
      </w:r>
    </w:p>
    <w:p>
      <w:r>
        <w:t>Le litige porte sur la question de savoir si l’assureur était fondé à refuser de procéder à une révision de sa décision sur opposition du 6 mars 2017.</w:t>
      </w:r>
    </w:p>
    <w:p>
      <w:r>
        <w:rPr>
          <w:b/>
        </w:rPr>
        <w:t>E. 6</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A/2505/2019 - 5/12 -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 Aux termes de l'art. 6 al. 2 LAA, selon sa nouvelle teneur entrée en vigueur le 1er janvier 2017, «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w:t>
      </w:r>
    </w:p>
    <w:p>
      <w:r>
        <w:t>A/2505/2019 - 6/12 - distinguer entre l'origine accidentelle et maladive de cette atteinte (arrêts du Tribunal fédéral 8C_347/2013 du 18 février 2014 consid. 3.2; 8C_698/2007 du 27 octobre 2008 consid. 4.2; 8C_551/2007 du 8 août 2008 consid. 4.1.2; 8C_357/2007 du 31 janvier 2008 consid. 2).</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A/2505/2019 - 7/12 -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A/2505/2019 - 8/12 - V 193 consid. 2 et les références). Aussi n’existe-t-il pas, en droit des assurances sociales, un principe selon lequel l’administration ou le juge devrait statuer, dans le doute, en faveur de l’assuré (ATF 126 V 319 consid. 5a).</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w:t>
      </w:r>
    </w:p>
    <w:p>
      <w:r>
        <w:t>A/2505/2019 - 9/12 - (ATF 127 V 353 consid. 5b et les références ; arrêt du Tribunal fédéral 9C_365/2015 du 6 janvier 2016 consid. 3.1).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RS 172.021), applicable par renvoi de l’art. 55 al. 1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w:t>
      </w:r>
    </w:p>
    <w:p>
      <w:r>
        <w:rPr>
          <w:b/>
        </w:rPr>
        <w:t>E. 11</w:t>
      </w:r>
    </w:p>
    <w:p>
      <w:r>
        <w:t>En l’espèce, l’assurée, rappelant que l’assureur avait mis fin à ses prestations sur la base de l’expertise rendue par la clinique Corela le 13 janvier 2016, fonde sa requête en révision sur la jurisprudence rendue par le Tribunal fédéral selon laquelle les expertises réalisées par cette clinique n’ont pas valeur probante.</w:t>
      </w:r>
    </w:p>
    <w:p>
      <w:r>
        <w:rPr>
          <w:b/>
        </w:rPr>
        <w:t>E. 12</w:t>
      </w:r>
    </w:p>
    <w:p>
      <w:r>
        <w:t>Dans son arrêt du 22 décembre 2017 (2C_32/2017),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plus récent du 16 août 2018 (9F_5/2018),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w:t>
      </w:r>
    </w:p>
    <w:p>
      <w:r>
        <w:t>A/2505/2019 - 10/12 -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w:t>
      </w:r>
    </w:p>
    <w:p>
      <w:r>
        <w:rPr>
          <w:b/>
        </w:rPr>
        <w:t>E. 13</w:t>
      </w:r>
    </w:p>
    <w:p>
      <w:r>
        <w:t>En l'espèce, l'expertise rendue le 13 janvier 2016 par les médecins de la clinique Corela, sur laquelle s’est fondé l’assureur, a été réalisée à une époque où le responsable médical du "département expertise" modifiait illicitement le contenu de rapports. En conséquence, cette expertise ne saurait servir de fondement pour statuer sur le droit de l’assurée aux prestations LAA. Peu importe de savoir si ledit responsable est concrètement intervenu dans la rédaction du rapport d’expertise, voire en a modifié le contenu à l'insu de son auteur, parce qu'il n'est en tout état de cause pas possible d'accorder pleine confiance au rapport du 3 septembre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l'expertise du 13 janvier 2016 ne saurait servir de fondement à une décision de l'assureur, dès lors qu'il y a lieu de lui nier toute valeur probante. Il s'agit là sans aucun doute d'un fait nouveau au sens de l'art 53 al. 1 LPGA. Ce fait nouveau doit en outre être important, c'est-à-dire qu'il doit être de nature à modifier l'état de fait qui est à la base de l'arrêt entrepris et à conduire à un jugement différent en fonction d'une appréciation juridique correcte. Tel est bien le</w:t>
      </w:r>
    </w:p>
    <w:p>
      <w:r>
        <w:t>A/2505/2019 - 11/12 - cas en l'occurrence. Aussi les conditions d'une révision procédurale sont-elles réalisées. La chambre de céans constate enfin que l’assurée a déposé sa demande de révision en temps utile, soit dans les trois mois après avoir pris connaissance de la jurisprudence du Tribunal fédéral (art. 67 PA). L’assureur ne pouvait, dans ces conditions, refuser de procéder à une révision de sa décision du 6 mars 2017. Il y a, partant, lieu d'admettre partiellement le recours et de lui renvoyer la cause pour nouvelle instruction et nouvelle décision.</w:t>
      </w:r>
    </w:p>
    <w:p>
      <w:r>
        <w:t>A/2505/2019 - 12/12 -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