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ATAS/286/2020 vom 14. April 2020</w:t>
      </w:r>
    </w:p>
    <w:p>
      <w:r>
        <w:t>GE Cour de justice, 2020-04-14, FR</w:t>
      </w:r>
    </w:p>
    <w:p>
      <w:r>
        <w:rPr>
          <w:b/>
        </w:rPr>
        <w:t xml:space="preserve">Quelle: </w:t>
      </w:r>
      <w:r>
        <w:t>https://mcp.opencaselaw.ch/entscheid/ge_gerichte_ATAS_286_2020</w:t>
      </w:r>
    </w:p>
    <w:p>
      <w:r>
        <w:t>FR: GE_GERICHTE ATAS/286/2020 du 14 avril 2020</w:t>
      </w:r>
    </w:p>
    <w:p>
      <w:r>
        <w:t>IT: GE_GERICHTE ATAS/286/2020 del 14 aprile 2020</w:t>
      </w:r>
    </w:p>
    <w:p>
      <w:pPr>
        <w:pStyle w:val="Heading2"/>
      </w:pPr>
      <w:r>
        <w:t>Erwägungen</w:t>
      </w:r>
    </w:p>
    <w:p>
      <w:r>
        <w:rPr>
          <w:b/>
        </w:rPr>
        <w:t>E. 21</w:t>
      </w:r>
    </w:p>
    <w:p>
      <w:r>
        <w:t>L’intimé par réponse du 22 janvier 2019 a conclu au rejet du recours et à la confirmation de la décision attaquée. Après avoir brièvement rappelé les faits et les principes juridiques applicables, notamment en matière de valeur probante de rapports médicaux, l’OAI a relevé que les médecins traitants n’amenaient pas d’éléments objectivement nouveaux mais qu’ils faisaient simplement une appréciation différente des faits. Ils n’amenaient en particulier pas d’arguments décisifs en lien avec l’appréciation des nouveaux indicateurs jurisprudentiels en matière de troubles non objectivables ni par rapport aux observations concernant les points formulés par le Dr G______, à savoir : anamnèse difficilement superposable à celle exprimée antérieurement, renseignements non concordants, difficultés à expliquer ; renseignements très difficiles à obtenir (omissions, réponses floues et évasives) ; assuré quérulent, peu collaborant, plaintif et agressif, très revendicateur ; plaintes physiques atypiques, fluctuantes ; discordance majeure entre le handicap allégué et l’observation objective ; revendication d’un statut de malade corrélative à la demande de prestations financières (les médecins traitants ont également fait savoir que le suivi thérapeutique en était même perturbé de ce fait) ; observance au traitement mauvaise et même quasi-inexistante, dénigrement des médecins ; pronostic conditionné par des facteurs sortant pour l’essentiel du champ médical.</w:t>
      </w:r>
    </w:p>
    <w:p>
      <w:r>
        <w:rPr>
          <w:b/>
        </w:rPr>
        <w:t>E. 22</w:t>
      </w:r>
    </w:p>
    <w:p>
      <w:r>
        <w:t>Le recourant a produit sa réplique en date du 13 février 2019 et a considéré que les éléments mentionnés par l’expert, tels que manque de collaboration, caractère provocateur, traitement pas suivi de manière régulière, réponses non précises, etc. pouvaient être dus au trouble de la personnalité plutôt qu’à son caractère. Le choix entre ces deux options devait ainsi être motivé. Par ailleurs, l’interprète présent pendant une partie de l’expertise avait constaté l’agressivité de l’expert à son encontre, raison pour laquelle il convenait de lui demander une prise de position et de mettre en place une expertise auprès d’un expert judiciaire. Enfin, les explications détaillées des médecins traitants ne pouvaient être écartées simplement sous prétexte qu’ils étaient manipulés par le recourant.</w:t>
      </w:r>
    </w:p>
    <w:p>
      <w:r>
        <w:rPr>
          <w:b/>
        </w:rPr>
        <w:t>E. 23</w:t>
      </w:r>
    </w:p>
    <w:p>
      <w:r>
        <w:t>Le 7 mars 2019, l’intimé a produit sa duplique, rappelant que le seul fait que les médecins traitants aient une opinion divergente quant à la capacité de travail du recourant n’était pas suffisant pour exiger la réalisation d’une nouvelle expertise. Pour critiquer valablement un rapport d’expertise, il convenait d’apporter des éléments non pris en compte par l’expert, ce qui n’était pas le cas. Par ailleurs, l’interprète ne saurait être entendu, à plus forte raison s’il n’a pas assisté à toute l’entrevue. Enfin, la décision querellée avait été rendue à la suite du dépôt d’une nouvelle demande de prestation et il appartenait donc au recourant de démontrer une détérioration notable de son état de santé depuis la décision du 25 septembre 2013, ce qui n’était pas le cas.</w:t>
      </w:r>
    </w:p>
    <w:p>
      <w:r>
        <w:t>_____________________________________________________________________________________</w:t>
      </w:r>
    </w:p>
    <w:p>
      <w:r>
        <w:t>A/4292/2018 - 8/19 -</w:t>
      </w:r>
    </w:p>
    <w:p>
      <w:r>
        <w:rPr>
          <w:b/>
        </w:rPr>
        <w:t>E. 24</w:t>
      </w:r>
    </w:p>
    <w:p>
      <w:r>
        <w:t>Une audience de comparution personnelle des parties s’est tenue le 6 janvier 2020. À cette occasion, le recourant a expliqué, après avoir résumé son parcours professionnel depuis son arrivée en Suisse, qu’après de nombreux refus ou échecs dans ses recherches, il avait eu le sentiment d’avoir tout perdu dans sa vie. Il était au chômage et aucune administration, et notamment pas l’Hospice, ne lui avait fourni du travail. Il avait ainsi perdu tous ses rêves, puisqu’il pensait qu’en Suisse, les diverses institutions étaient là pour aider les personnes. Autour de lui, de nombreuses personnes bénéficiaient de ces prestations mais personne ne lui avait jamais rien donné. S’agissant des procédures devant l’OAI, il relevait que la première experte n’avait jamais été en sa faveur mais en faveur de l’intimé. Quant au second expert, il lui avait posé beaucoup trop de questions sur sa vie privée et l’avait peu questionné sur sa maladie. Après 10 minutes, il lui avait demandé de rentrer chez lui, sous-entendant qu’il allait peut-être le reconvoquer une ou deux fois encore mais il n’avait jamais été reconvoqué.</w:t>
      </w:r>
    </w:p>
    <w:p>
      <w:r>
        <w:rPr>
          <w:b/>
        </w:rPr>
        <w:t>E. 25</w:t>
      </w:r>
    </w:p>
    <w:p>
      <w:r>
        <w:t>Sur quoi, la cause a été gardée à juger.</w:t>
      </w:r>
    </w:p>
    <w:p>
      <w:r>
        <w:t>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point de savoir si l'intimé était fondé à rejeter la nouvelle demande du recourant. Concrètement, il s’agit d’examiner si, depuis la décision de l’OAI du 25 septembre 2013, l’état de santé du recourant s’est aggravé de telle manière à désormais justifier des prestations d’invalidité. 4.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w:t>
      </w:r>
    </w:p>
    <w:p>
      <w:r>
        <w:t>_____________________________________________________________________________________</w:t>
      </w:r>
    </w:p>
    <w:p>
      <w:r>
        <w:t>A/4292/2018 - 9/19 -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c.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w:t>
      </w:r>
    </w:p>
    <w:p>
      <w:r>
        <w:t>_____________________________________________________________________________________</w:t>
      </w:r>
    </w:p>
    <w:p>
      <w:r>
        <w:t>A/4292/2018 - 10/19 -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w:t>
      </w:r>
    </w:p>
    <w:p>
      <w:r>
        <w:t>_____________________________________________________________________________________</w:t>
      </w:r>
    </w:p>
    <w:p>
      <w:r>
        <w:t>A/4292/2018 - 11/19 -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 La reconnaissance de l'existence d'une atteinte à la santé psychique suppose la présence d'un diagnostic émanent d'un expert (psychiatre) et s'appuyant selon les règles de l'art sur les critères d'un système de classification reconnu, tel le CIM ou le DSM-IV (notamment : ATF 143 V 409 consid. 4.5.2, 141 V 281 consid. 2.2 et 3.2; arrêts du Tribunal fédéral 8C_841/2016 du 30 novembre 2017 consid. 4.5.2 et 9C_815/2012 du 12 décembre 2012 consid. 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w:t>
      </w:r>
    </w:p>
    <w:p>
      <w:r>
        <w:t>_____________________________________________________________________________________</w:t>
      </w:r>
    </w:p>
    <w:p>
      <w:r>
        <w:t>A/4292/2018 - 12/19 -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d. 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7.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w:t>
      </w:r>
    </w:p>
    <w:p>
      <w:r>
        <w:t>_____________________________________________________________________________________</w:t>
      </w:r>
    </w:p>
    <w:p>
      <w:r>
        <w:t>A/4292/2018 - 13/19 -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w:t>
      </w:r>
    </w:p>
    <w:p>
      <w:r>
        <w:t>_____________________________________________________________________________________</w:t>
      </w:r>
    </w:p>
    <w:p>
      <w:r>
        <w:t>A/4292/2018 - 14/19 - connaissance du dossier, et que l'expert aboutit à des résultats convaincants, le juge ne saurait les écarter aussi longtemps qu'aucun indice concret ne permet de douter de leur bien-fondé (ATF 125 V 351 consid. 3b/bb).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En l'espèce, le recourant a saisi l'intimé de deux demandes de prestations successives : - la première a été rejetée par décision 25 septembre 2013, au motif que les atteintes psychiques (dysthymie depuis fin 2007, trouble panique depuis fin</w:t>
      </w:r>
    </w:p>
    <w:p>
      <w:r>
        <w:t>_____________________________________________________________________________________</w:t>
      </w:r>
    </w:p>
    <w:p>
      <w:r>
        <w:t>A/4292/2018 - 15/19 - 2007, dépendance au tabac utilisation continue depuis 1992) dont souffrait le recourant n’étaient pas invalidantes ; - la deuxième a été rejetée par décision du 5 novembre 2018, les atteintes recensées par le Dr G______ (épisode dépressif majeur, de gravité légère [diagnostic différentiel : dysthymie], trouble panique avec attaques de panique paucisymptomatiques sans agoraphobie, personnalité état limite, avec des défenses narcissiques), entraînant une invalidité de 10%, insuffisante pour donner droit à une rente, étant précisé que les atteintes somatiques entraînaient uniquement des limitations fonctionnelles et non une incapacité de travail durable. b. Il n'est pas contesté que le recourant souffre de troubles psychiques depuis de nombreuses années. La question est donc celle de savoir si ces atteintes sont désormais incapacitantes. Afin d'y répondre, l'OAI a mandaté le Dr G______ pour expertise. Il convient donc de se prononcer sur la valeur probante de son rapport du 22 juin 2017. Force est de constater que le rapport du Dr G______ remplit, sur le plan formel, toutes les exigences auxquelles la jurisprudence soumet la valeur probante de tels documents. En effet, il contient le résumé du dossier, les indications subjectives du recourant, des observations cliniques, ainsi qu'une discussion générale du cas. Les conclusions sont motivées et convaincantes. Le Dr G______ a en particulier expliqué de manière circonstanciée les motifs pour lesquels il s’écartait des diagnostics retenus par les médecins traitants. Sur le fond, le Dr G______ n’a retenu, dans son rapport du 22 juin 2017, que des diagnostics selon le DMS-IV-TR sans répercussions sur la capacité de travail, à savoir : Axe I : Épisode dépressif majeur, de gravité légère (diagnostic différentiel : dysthymie) et trouble panique avec attaques de panique paucisymptomatiques sans agoraphobie ; Axe II : Personnalité état limite, avec des défenses narcissiques ; Axe III : cf. spécialiste concerné ; Axe IV : Difficultés psychosociales et économiques. La capacité de travail médico-théorique était entière et ce, depuis toujours, étant précisé que l’observance au traitement médical était mauvaise. L’expert a également expliqué que le caractère revendicateur, évoluant vers une sinistrose, expliquait essentiellement la recherche et l’identification à un statut de malade. S’y ajoutaient des facteurs ne relevant pas de l’assurance-invalidité, tels que l’éloignement du monde du travail, chez un assuré n’ayant jamais véritablement exercé d’activité lucrative, les compétences linguistiques, l’âge,</w:t>
      </w:r>
    </w:p>
    <w:p>
      <w:r>
        <w:t>_____________________________________________________________________________________</w:t>
      </w:r>
    </w:p>
    <w:p>
      <w:r>
        <w:t>A/4292/2018 - 16/19 - l’absence de formation et des éléments socio-culturels ainsi que l’importance des bénéfices secondaires. Dans tous les cas, il existait de nombreux facteurs d’exclusions, tels qu’une tendance à l’exagération, un manque de collaboration flagrant et un caractère parfois provocateur et disqualifiant. Par ailleurs, l’assuré disposait de nombreuses ressources lorsque cela concernait ses intérêts, ayant ainsi pu faire venir son épouse et ses enfants en Suisse. c.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Dans le cas présent, le recourant se réfère au courrier du 17 septembre 2018 des Dresses E______ et F______ pour contester les conclusions du Dr G______. En premier lieu, les médecins susmentionnés ont relevé que l’expert ne s’était pas entretenu avec la Dresse F______, psychiatre traitante du recourant. S’il peut certes être intéressant de recueillir des informations auprès du psychiatre traitant, cette démarche n’est pas obligatoire et son absence ne constitue pas une lacune propre à remettre en question, sur cette seule base, la valeur probante d’une expertise. Ensuite, après avoir résumé les diagnostics posés par le Dr G______, les médecins traitants du recourant ont considéré qu’à la lecture des parties anamnestique et clinique du rapport d’expertise, une toute autre impression se dégageait, celle d’un homme n’étant jamais parvenu à vivre une vie adulte autonome et indépendante, à cause d’une personnalité aux défenses adaptatives très restreintes et peu mobilisables. Concrètement, il n’avait jamais pu maintenir une activité professionnelle suivie. Selon les médecins traitants, les choix existentiels de jeune adulte semblaient avoir répondu à des actes impulsifs et peu réfléchis ainsi qu’au miroitement peu réaliste d’une vie grandiose avec une aptitude très restreinte à prendre en compte les besoins d’autrui. Dès 2007, les symptômes anxiodépressifs et les somatisations avaient commencé à se manifester. Même si les diagnostics posés variaient en fonction des médecins, tous semblaient s’accorder à reconnaître un trouble de la personnalité, des fléchissements périodiques de la thymie (aux amplitudes variables), ainsi qu’une importante somatisation. Si au début de sa crise, le recourant avait pu apparaître avant tout paniqué, anxieux et déprimé, c’était dans une attitude projective, revendicatrice et somatisante que sa symptomatologie s’était condensée. Dans ce contexte, les Dresses E______ et F______ reprochaient au Dr G______ de ne pas avoir retenu de somatisation, laquelle s’exprimait d’une</w:t>
      </w:r>
    </w:p>
    <w:p>
      <w:r>
        <w:t>_____________________________________________________________________________________</w:t>
      </w:r>
    </w:p>
    <w:p>
      <w:r>
        <w:t>A/4292/2018 - 17/19 - façon aiguë sous forme d’attaques de panique, ou de manière chronique dans le domaine douloureux, cardiovasculaire ou neurovégétatif. Force est toutefois de constater que le Dr G______ a expliqué pour quels motifs il n’avait pas retenu de troubles de la symptomatologie somatique, expliquant notamment que les plaintes physiques évoquées par le recourant étaient très atypiques, fluctuantes, certaines plaintes étant associées aux éléments du trouble thymique, d’autres à l’anxiété. À aucun moment, les Dresses E______ et F______ ont critiqué ces considérations. En réalité, elles se sont uniquement limitées à opposer leur propre appréciation à celle du Dr G______, ce qui n’est pas n’est pas suffisant pour remettre en question la valeur probante de l’expertise du Dr G______ et justifier la réalisation d’une expertise judiciaire. Enfin, les médecins traitants du recourant sont d’avis que l’attitude du recourant relevait plus d’un trouble de la personnalité que d’un comportement opportuniste ou finalisé à l’obtention de bénéfices personnels. En raison de ce trouble de la personnalité, le recourant agissait de manière irréfléchie et impulsive, à l’encontre de son avantage le plus trivial, en se plaçant dans le rôle de victime qui n’entendait considérer ni responsabilité ni faille ou insuffisance, loin d’éventuels élans empathiques. A la lecture du rapport d’expertise, on constate que le Dr G______ a pris en considération un trouble de la personnalité, sous la forme d’un fonctionnement de type état limite avec des défenses narcissiques pour expliquer le caractère impulsif du recourant. Il a simplement estimé que ce trouble n’était pas incapacitant. En résumé, les Dresses E______ et F______ se sont limitées à opposer leur appréciation à celle du Dr G______, sans expliquer en quoi ce médecin aurait erré dans ses diagnostics et son appréciation de la capacité de travail. Elles ne se sont en particulier pas prononcées sur les nombreuses contradictions mentionnées par le Dr G______ ni sur les facteurs psychosociaux ou socioculturels relevés par celui-ci. d. Au vu des considérations ci-dessus, force est de constater que le recourant n'a pas été en mesure de faire valoir des éléments objectifs précis justifiant, d'un point de vue médical, d'envisager la situation selon une perspective différente. Il convient donc de retenir que le rapport du Dr G______ dispose d'une pleine valeur probante et qu'aucune aggravation significative de l’état de santé du recourant n'a été rendue vraisemblable. Dans ces circonstances, il n’est pas nécessaire d’ordonner une expertise judiciaire, ce d’autant moins que lors de son audition du 6 janvier 2020, le recourant a confirmé l’importance des facteurs non médicaux retenus par le Dr G______. 11. Au vu de ce qui précède, le recours sera rejeté. Bien que la procédure ne soit pas gratuite en matière d'assurance-invalidité (art. 69 al. 1bis LAI), il convient de renoncer à la perception d'un émolument, le recourant étant au bénéfice de l'assistance juridique (art. 13 al. 1 du règlement sur</w:t>
      </w:r>
    </w:p>
    <w:p>
      <w:r>
        <w:t>_____________________________________________________________________________________</w:t>
      </w:r>
    </w:p>
    <w:p>
      <w:r>
        <w:t>A/4292/2018 - 18/19 - les frais, émoluments et indemnités en procédure administrative du 30 juillet 1986 [RFPA - E 5 10.03]), partielle, en ce sens qu’elle a été limitée aux frais.</w:t>
      </w:r>
    </w:p>
    <w:p>
      <w:r>
        <w:t>_____________________________________________________________________________________</w:t>
      </w:r>
    </w:p>
    <w:p>
      <w:r>
        <w:t>A/4292/2018 - 19/19 -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