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ATAS/286/2018 vom 3. April 2018</w:t>
      </w:r>
    </w:p>
    <w:p>
      <w:r>
        <w:t>GE Cour de justice, 2018-04-03, FR</w:t>
      </w:r>
    </w:p>
    <w:p>
      <w:r>
        <w:rPr>
          <w:b/>
        </w:rPr>
        <w:t xml:space="preserve">Quelle: </w:t>
      </w:r>
      <w:r>
        <w:t>https://mcp.opencaselaw.ch/entscheid/ge_gerichte_ATAS_286_2018</w:t>
      </w:r>
    </w:p>
    <w:p>
      <w:r>
        <w:t>FR: GE_GERICHTE ATAS/286/2018 du 3 avril 2018</w:t>
      </w:r>
    </w:p>
    <w:p>
      <w:r>
        <w:t>IT: GE_GERICHTE ATAS/286/2018 del 3 aprile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le recours étant dirigé contre une décision sur opposition rendue en application de la LACI. Le recours a été interjeté en temps utile (art. 60 LPGA), et il satisfait aux exigences de forme et de contenu prescrites par la loi (art. 61 let. b LPGA ; cf. aussi art. 89B LPA). La recourante a qualité pour recourir, étant touchée par la décision attaquée et ayant un intérêt digne de protection à son annulation ou sa modification (art. 59 LPGA). Le recours est donc recevable.</w:t>
      </w:r>
    </w:p>
    <w:p>
      <w:r>
        <w:rPr>
          <w:b/>
        </w:rPr>
        <w:t>E. 2</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w:t>
      </w:r>
    </w:p>
    <w:p>
      <w:r>
        <w:t>A/2815/2017 - 6/11 -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w:t>
      </w:r>
    </w:p>
    <w:p>
      <w:r>
        <w:t>A/2815/2017 - 7/11 -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d.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w:t>
      </w:r>
    </w:p>
    <w:p>
      <w:r>
        <w:t>A/2815/2017 - 8/11 -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 ou l’autre de celles que la loi lui permet de retenir, ou lorsque, s’estimant liée, n’exerce pas le pouvoir d’appréciation que lui confère la loi (Stéphane GRODECKI / Romain JORDAN, op. cit. n. 767 s.). e. Selon l’art. 30 al. 2 LACI, l’autorité cantonale prononce les suspensions au sens de l'al. 1 (not. let. d). Dans d’autres cas, ce sont les caisses qui statuent.</w:t>
      </w:r>
    </w:p>
    <w:p>
      <w:r>
        <w:rPr>
          <w:b/>
        </w:rPr>
        <w:t>E. 3</w:t>
      </w:r>
    </w:p>
    <w:p>
      <w:r>
        <w:t>a. En l’espèce, la recourante conteste que la condition première du prononcé d’une sanction à son encontre, à savoir la commission d’une faute, soit réalisée, pour le motif que – affirme-t-elle – elle n’a jamais reçu la convocation à l’entretien du 10 mai 2017 à 09h00 auquel l’intimé lui reproche de ne pas s’être présentée. Il est évident que la recourante ne saurait être sanctionnée pour, le cas échéant, ne s’être pas rendue à un entretien dont elle aurait ignoré l’existence même. La question est donc de savoir s’il doit être admis que la recourante a reçu ladite convocation. b. De façon générale s’applique dans le domaine des assurances sociales la règle qu’une preuve stricte n’est en principe pas exigée. Sauf dispositions contraires de la loi, il y a lieu de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Procédure et contentieux, in Droit de la sécurité sociale, vol. II, éd. par Ghislaine FRÉSARD-FELLAY / Bettina KAHIL-WOLFF / Stéphanie PERRENOUD, vol. II, 2015, p. 483 ss, 517 s.). C’est essentiellement dans le domaine des prestations des assurances sociales que cet assouplissement du degré de preuve requis se justifie, en considération du fait que les faits en la matière sont souvent hypothétiques et que la médecine n’est pas toujours une science exacte (Ghislaine FRÉSARD-FELLAY, op. cit., p. 517 ; Ueli KIESER, ATSG Kommentar, 3ème éd., 2015, n. 46 ss ad art. 43). Selon la jurisprudence, la règle du degré de vraisemblance prépondérante est toutefois suffisante au stade de l'administration de masse, en ce qui concerne la preuve de</w:t>
      </w:r>
    </w:p>
    <w:p>
      <w:r>
        <w:t>A/2815/2017 - 9/11 - faits déterminants pour la notification d'une communication (ATF 121 V 5 consid. 3b, p. 6, 119 V 7 consid. 3c/aa p. 9 ; arrêts du Tribunal fédéral 9C_711/2009 du 26 février 2010 consid. 4.2 ; 9C_639/2007 du 25 février 2008). Il n’en reste pas moins que la preuve de la notification d’une communication incombe à l’autorité qui entend en tirer une conséquence juridique. Si la notification d’un acte envoyé sous pli simple ou sa date sont contestées et s’il existe effectivement un doute à ce sujet, il y a lieu de se fonder sur les déclarations du destinataire de l’envoi (arrêt du Tribunal fédéral 9C_37/2009 du 14 mai 2009 consid. 3 ; Boris RUBIN, op. cit., n. 28 ss et 57 ad art. 1).</w:t>
      </w:r>
    </w:p>
    <w:p>
      <w:r>
        <w:rPr>
          <w:b/>
        </w:rPr>
        <w:t>E. 4</w:t>
      </w:r>
    </w:p>
    <w:p>
      <w:r>
        <w:t>a. En l’espèce, il sied préalablement de rectifier un élément de la chronologie des faits. Il est en effet manifeste que la recourante fait erreur lorsqu’elle écrit, même à réitérées reprises, qu’elle s’est rendue le 8 mai 2017 au guichet de l’intimé, après avoir reçu un courriel de ce dernier l’informant qu’un entretien auquel elle avait été convoquée pour le 1er juin 2017 à 08h15 avec le conseiller en personnel B______ était annulé, et que c’est à cette occasion qu’elle a appris de son interlocutrice, Mme D______, qu’elle avait manqué un rendez-vous le 10 mai 2017 avec la conseillère en personnel C______. Le 8 mai 2017, deux jours avant l’entretien considéré, la recourante ne pouvait encore avoir manqué ce dernier. C’est une semaine plus tard, le 15 mai 2017, que les faits précités se sont produits, soit le jour même où, à sa demande, une nouvelle convocation, datée de ce 15 mai 2017, a été remise à la recourante en mains propres, contre signature, pour le surlendemain, 17 mai 2017 à 09h00. Il n’y a pas lieu d’inférer de cette erreur manifeste que la véracité des allégations de la recourante doit être mise en doute. b. L’intimé ne nie pas que la conseillère en personnel chargée de contacter la recourante sur la question spécifique de l’exportation des prestations de chômage n’a envoyé que par courriel une convocation à la recourante pour l’entretien fixé au 10 mai 2017, sans se préoccuper de la bonne réception de ce message électronique, et il n’apporte pas la preuve que ce courriel a bien été reçu dans la messagerie électronique de la recourante. S’il est vrai que des échanges par courriels étaient déjà intervenus avec succès entre la recourante et le précédent conseiller en personnel de cette dernière, il n’en résulte pas une présomption que ledit courriel du 4 mai 2017 à 20h15 est bien parvenu dans la sphère de puissance de la recourante, même si cette dernière s’était engagée à relever quotidiennement sa boîte e-mail privée. Il faut constater d’une part que la recourante n’avait aucun intérêt à ne pas se rendre audit entretien, qu’elle avait sollicité en vue de savoir si et à quelles conditions elle pourrait bénéficier d’une exportation des prestations de chômage si elle se rendait au Portugal chez son père, et d’autre part que, à teneur du dossier, elle avait été convoquée à des entretiens de conseil systématiquement par des convocations lui ayant été remises en mains propres contre signature [pièces 12, 15, 19, 23, 30, 34, 47, 52, 61, 68 OCE] ou envoyées par la poste [pièce 43 OCE]. L’ORP a d’ailleurs pris soin de doubler</w:t>
      </w:r>
    </w:p>
    <w:p>
      <w:r>
        <w:t>A/2815/2017 - 10/11 - l’envoi de son courriel suivant du 31 mai 2017 à 08h48 de prise de contact avec la recourante pour s’assurer de la bonne réception de ce message électronique. Il serait disproportionné d’effectuer une expertise informatique de la messagerie électronique de la recourante pour déterminer si le courriel considéré du 4 mai 2017 à 20h15 était bien arrivé dans ses courriers reçus, voire dans ses spams. c. La chambre de céans estime que, dans ce complexe de faits, il ne peut être retenu comme prouvé, ni même comme hautement vraisemblable, que la recourante a effectivement reçu le courriel considéré, et donc qu’une faute peut et doit lui être reprochée.</w:t>
      </w:r>
    </w:p>
    <w:p>
      <w:r>
        <w:rPr>
          <w:b/>
        </w:rPr>
        <w:t>E. 5</w:t>
      </w:r>
    </w:p>
    <w:p>
      <w:r>
        <w:t>Au demeurant, il résulte de l’ensemble du dossier que la recourante a toujours pris ses obligations de chômeuse et de bénéficiaire de prestations très au sérieux. Or, selon la jurisprudence (arrêt du Tribunal fédéral 8C_928/2014 du 5 mai 2015 consid. 5.1 et jurisprudence citée),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8C_675/2014 du 12 décembre 2014 consid. 3; 8C_447/2008 du 16 octobre 2008 consid. 5.1, in DTA 2009 p. 271 et la référence).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C 209/99 précité).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Si, contrairement à ce que retient la chambre de céans, il fallait considérer que le courriel du 4 mai 2017 à 20h15 était bien parvenu dans la messagerie électronique de la recourante et que celle-ci l’avait par exemple effacé par inadvertance, il faudrait admettre que l’intimé devait renoncer à lui infliger une suspension de son droit à l’indemnité de chômage.</w:t>
      </w:r>
    </w:p>
    <w:p>
      <w:r>
        <w:rPr>
          <w:b/>
        </w:rPr>
        <w:t>E. 6</w:t>
      </w:r>
    </w:p>
    <w:p>
      <w:r>
        <w:t>Le recours sera donc admis et la décision attaquée (s’étant substituée à la décision initiale) sera annulée.</w:t>
      </w:r>
    </w:p>
    <w:p>
      <w:r>
        <w:rPr>
          <w:b/>
        </w:rPr>
        <w:t>E. 7</w:t>
      </w:r>
    </w:p>
    <w:p>
      <w:r>
        <w:t>La procédure est gratuite (art. 61 let. a LPGA). * * * * * * PAR CES MOTIFS, LA CHAMBRE DES ASSURANCES SOCIALES :</w:t>
      </w:r>
    </w:p>
    <w:p>
      <w:r>
        <w:t>A/2815/2017 - 11/11 -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