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ATAS/285/2023 vom 25. April 2023</w:t>
      </w:r>
    </w:p>
    <w:p>
      <w:r>
        <w:t>GE Cour de justice, 2023-04-25, FR</w:t>
      </w:r>
    </w:p>
    <w:p>
      <w:r>
        <w:rPr>
          <w:b/>
        </w:rPr>
        <w:t xml:space="preserve">Quelle: </w:t>
      </w:r>
      <w:r>
        <w:t>https://mcp.opencaselaw.ch/entscheid/ge_gerichte_ATAS_285_2023</w:t>
      </w:r>
    </w:p>
    <w:p>
      <w:r>
        <w:t>FR: GE_GERICHTE ATAS/285/2023 du 25 avril 2023</w:t>
      </w:r>
    </w:p>
    <w:p>
      <w:r>
        <w:t>IT: GE_GERICHTE ATAS/285/2023 del 25 aprile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Sa compétence pour juger du cas d’espèce est ainsi établie.</w:t>
      </w:r>
    </w:p>
    <w:p>
      <w:r>
        <w:rPr>
          <w:b/>
        </w:rPr>
        <w:t>E. 2</w:t>
      </w:r>
    </w:p>
    <w:p>
      <w:r>
        <w:t>Dans la mesure où le recours porte sur les prestations perçues à tort entre le 1er février 2019 et le 31 décembre 2020, soit sur une période antérieure à l'entrée en vigueur, le 1er janvier 2021, des modifications des 22 mars, 20 décembre 2019 et 14 octobre 2020 de la LPC,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w:t>
      </w:r>
    </w:p>
    <w:p>
      <w:r>
        <w:rPr>
          <w:b/>
        </w:rPr>
        <w:t>E. 4</w:t>
      </w:r>
    </w:p>
    <w:p>
      <w:r>
        <w:t>Le litige porte sur la question de savoir si la recourante peut bénéficier d’une remise de l’obligation de restituer la somme de CHF 15'663.- à titre de prestations</w:t>
      </w:r>
    </w:p>
    <w:p>
      <w:r>
        <w:t>A/4202/2022 - 4/8 - complémentaires fédérales (ci-après : PCF) indûment perçues. Est en particulier litigieuse la question de savoir si la condition de la bonne foi est remplie.</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5.2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précité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précité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w:t>
      </w:r>
    </w:p>
    <w:p>
      <w:r>
        <w:t>A/4202/2022 - 5/8 -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Les directives concernant les prestations complémentaires à l'AVS et à l'AI (ci- après : DPC), valables dès le 1er avril 2011 (état au 18 novembre 2020),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w:t>
      </w:r>
    </w:p>
    <w:p>
      <w:r>
        <w:t>A/4202/2022 - 6/8 -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 À titre d’exemple, le Tribunal fédéral a retenu une négligence grave excluant toute bonne foi dans le cas d’un assuré qui aurait pu déceler que la feuille de calcul comportait une erreur manifeste en faisant preuve de l’attention nécessaire, ce quand bien même il aurait annoncé des revenus que le SPC avait omis de prendre en compte. Lorsqu'une prestation complémentaire n'était que légèrement trop élevée, l'attention requise et l'obligation de signaler l'erreur lors du contrôle des relevés sont moins strictes que dans le cas de la perception d'une prestation de plusieurs centaines de francs trop élevée chaque mois, qui devrait être constatée sans plus attendre (arrêt du Tribunal fédéral 9C_385/2013 du 19 septembre 2013 consid. 4.4). Il va de même pour un couple qui n’avait pas réagi à une décision erronée accroissant les prestations complémentaires versées, alors qu’il avait annoncé la perception d’une nouvelle rente devant aboutir à une diminution des prestations. Le Tribunal fédéral a relevé qu’un examen sommaire de la feuille de calcul, qui ne présentait aucune difficulté de lecture ou de compréhension, aurait permis à l’intéressé de constater que les revenus annoncés n’avaient pas été pris en considération. Le manque de vigilance de l’assuré, qui avait omis de contrôler la feuille de calcul et d’informer l’administration de l’erreur manifeste qu’elle venait de commettre, excluait sa bonne foi (arrêt du Tribunal fédéral 9C_189/2012 du 21 août 2012 consid. 4).</w:t>
      </w:r>
    </w:p>
    <w:p>
      <w:r>
        <w:rPr>
          <w:b/>
        </w:rPr>
        <w:t>E. 6</w:t>
      </w:r>
    </w:p>
    <w:p>
      <w:r>
        <w:t>En l'occurrence, la recourante a correctement signalé à l'intimé le montant de sa rente AVS. Toutefois, elle n'a pas réagi à réception des décisions erronées de l'intimé, dans lesquelles figurait le montant mensuel de cette rente dans les plans de calculs, alors que tous les autres revenus et les dépenses étaient annualisés. Cette erreur aurait pu être détectée par la recourante aisément à la lecture de ces décisions, dès lors que les plans de calcul de ses prestations dès février 2019, mentionnaient clairement, sous revenu déterminant « PRESTATIONS DE L'AVS/AI  rentes de l'AVS/AI », le montant de CHF 743.-. L'argument de la recourante selon lequel elle avait estimé que le montant était mensualisé pour une meilleure compréhension de la décision, n'est pas convaincant, dans la mesure où tous les autres éléments du plan de calcul des PCF sont annualisés, notamment sa rente étrangère. En outre, auparavant, le plan de calcul des PCF incluait depuis le 1er février 2017 sa rente AVS et celle de feu son époux au montant annualisé. En cas de doute, il aurait appartenu à la recourante ou au tiers l'assistant dans la gestion des affaires administratives de demander des éclaircissements au SPC. Cela est d’autant plus vrai que le devoir de contrôle et d’annonce de l’assuré lui a été rappelé en décembre de chaque année par l’intimé.</w:t>
      </w:r>
    </w:p>
    <w:p>
      <w:r>
        <w:t>A/4202/2022 - 7/8 - Certes, l’attention requise et l'obligation de signaler une erreur sont moins strictes en présence d'une prestation complémentaire qui n'est que légèrement trop élevée. Toutefois, tel n'est pas le cas en l'espèce, la différence étant de CHF 681.- par mois. La mention dans le plan de calcul d'une rente AVS de CHF 743.- à la place de CHF 8'916.- aurait par ailleurs dû sauter aux yeux de la recourante, en faisant preuve de l'attention que l'on pouvait raisonnablement exiger d'elle ou des personnes qui l'assistent dans les démarches administratives. Dans son opposition du 2 mars 2022, la recourante soutient qu’elle ne s'était pas inquiétée à la réception de la décision du 29 janvier 2020, sa situation n'ayant pas changé. Il sied cependant de relever que l'erreur dans la prise en compte de sa rente AVS apparaissait déjà dans la décision du 28 février 2019, lors de la révision du dossier suite au décès de son époux. Ce décès entraînait de tout évidence un changement notable dans sa situation et requérait ainsi un contrôle attentif de la décision du 28 février 2019. Enfin, la recourante affirme que si elle avait été de mauvaise foi, elle aurait contesté la prise en compte d'un bien immobilier et du produit de ce bien. Toutefois, cette abstention ne l'exempte pas de son obligation de signaler l'erreur de calcul de l'intimé au moment du décès de son époux. Au vu de ces éléments, la condition de la bonne foi n'est pas réalisée.</w:t>
      </w:r>
    </w:p>
    <w:p>
      <w:r>
        <w:rPr>
          <w:b/>
        </w:rPr>
        <w:t>E. 7</w:t>
      </w:r>
    </w:p>
    <w:p>
      <w:r>
        <w:t>Partant, le recours sera rejeté.</w:t>
      </w:r>
    </w:p>
    <w:p>
      <w:r>
        <w:rPr>
          <w:b/>
        </w:rPr>
        <w:t>E. 8</w:t>
      </w:r>
    </w:p>
    <w:p>
      <w:r>
        <w:t>Pour le surplus, la procédure est gratuite (art. 61 let. fbis a contrario LPGA).</w:t>
      </w:r>
    </w:p>
    <w:p>
      <w:r>
        <w:t>A/4202/2022 - 8/8 -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