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ATAS/285/2020 vom 14. April 2020</w:t>
      </w:r>
    </w:p>
    <w:p>
      <w:r>
        <w:t>GE Cour de justice, 2020-04-14, FR</w:t>
      </w:r>
    </w:p>
    <w:p>
      <w:r>
        <w:rPr>
          <w:b/>
        </w:rPr>
        <w:t xml:space="preserve">Quelle: </w:t>
      </w:r>
      <w:r>
        <w:t>https://mcp.opencaselaw.ch/entscheid/ge_gerichte_ATAS_285_2020</w:t>
      </w:r>
    </w:p>
    <w:p>
      <w:r>
        <w:t>FR: GE_GERICHTE ATAS/285/2020 du 14 avril 2020</w:t>
      </w:r>
    </w:p>
    <w:p>
      <w:r>
        <w:t>IT: GE_GERICHTE ATAS/285/2020 del 14 aprile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w:t>
      </w:r>
    </w:p>
    <w:p>
      <w:r>
        <w:t>A/282/2018 - 11/27 -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Le droit aux prestations complémentaires du recourant se détermine dès lors selon les dispositions légales dans leur ancienne teneur pour la période jusqu'au 31 décembre 2010 et selon le nouveau droit pour les prestations dès cette date.</w:t>
      </w:r>
    </w:p>
    <w:p>
      <w:r>
        <w:rPr>
          <w:b/>
        </w:rPr>
        <w:t>E. 3</w:t>
      </w:r>
    </w:p>
    <w:p>
      <w:r>
        <w:t>Interjeté dans les forme et délai légaux, compte tenu de la suspension des délais pendant la période du 18 décembre au 2 janvier inclusivement (art. 38 al. 4 let. c LPGA), le recours est recevable (art. 56 al. 1 et 60 al. 1 LPGA; art. 9 de la loi cantonale du 14 octobre 1965 sur les prestations fédérales complémentaires à l’assurance-vieillesse et survivants et à l’assurance-invalidité [LPFC – J 4 20]; art. 43 LPCC).</w:t>
      </w:r>
    </w:p>
    <w:p>
      <w:r>
        <w:rPr>
          <w:b/>
        </w:rPr>
        <w:t>E. 4</w:t>
      </w:r>
    </w:p>
    <w:p>
      <w:r>
        <w:t>Le litige porte sur la question de savoir si c'est à juste titre que l'intimé a requis du recourant la restitution de prestations complémentaires, tant dans son principe que dans la quotité, pour la période courant du 1er mars 2010 au 31 décembre 2016, de même que le remboursement des subsides d'assurance-maladie et des frais médicaux indûment versés à celui-ci pendant cette période. Il s'agit en particulier de déterminer le délai de péremption applicable ainsi que le montant de la fortune immobilière et du produit des biens immobiliers à prendre en compte, les autres éléments retenus dans la décision querellée n'étant pas contestés par le recourant.</w:t>
      </w:r>
    </w:p>
    <w:p>
      <w:r>
        <w:rPr>
          <w:b/>
        </w:rPr>
        <w:t>E. 5</w:t>
      </w:r>
    </w:p>
    <w:p>
      <w:r>
        <w:t>S'agissant des prestations complémentaires fédérales,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w:t>
      </w:r>
    </w:p>
    <w:p>
      <w:r>
        <w:t>A/282/2018 - 12/27 - L'obligation de restituer suppose aujourd'hui encore, conformément à la jurisprudence rendue à propos des anciens articles 47 al. 1 de la loi fédérale sur l'assurance-vieillesse et survivants du 20 décembre 1946 (LAVS – RS 831.10) ou 95 de la loi fédérale sur l'assurance-chômage obligatoire et l'indemnité en cas d'insolvabilité du 25 juin 1982 (LACI –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w:t>
      </w:r>
    </w:p>
    <w:p>
      <w:r>
        <w:rPr>
          <w:b/>
        </w:rPr>
        <w:t>E. 6</w:t>
      </w:r>
    </w:p>
    <w:p>
      <w:r>
        <w:t>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7</w:t>
      </w:r>
    </w:p>
    <w:p>
      <w:r>
        <w:t>S’agissant des subsides, l’art. 33 al. 2 de la loi d’application de la loi fédérale sur l’assurance-maladie du 29 mai 1997 (LaLAMal − J 3 05), prévoit que dans le cas où ils ont été indûment touchés par un bénéficiaire des prestations du SPC, ce dernier peut en demander la restitution au nom et pour le compte du service de</w:t>
      </w:r>
    </w:p>
    <w:p>
      <w:r>
        <w:t>A/282/2018 - 13/27 - l'assurance-maladie. Selon l’art. 33 al. 1 LaLAMal, la restitution des subsides indûment touchés doit être effectuée en appliquant par analogie l’art. 25 LPGA.</w:t>
      </w:r>
    </w:p>
    <w:p>
      <w:r>
        <w:rPr>
          <w:b/>
        </w:rPr>
        <w:t>E. 8</w:t>
      </w:r>
    </w:p>
    <w:p>
      <w:r>
        <w:t>a. 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Contrairement à la prescription, la péremption prévue à l’art. 25 al. 2 LPGA ne peut être ni suspendue ni interrompue et lorsque s’accomplit l’acte conservatoire que prescrit la loi, comme la prise d’une décision, le délai se trouve sauvegardé une fois pour toute (arrêt du Tribunal fédéral des assurances C 271/04 du 21 mars 2006 consid. 2.5). b. Si la créance naît d'un acte punissable pour lequel le droit pénal prévoit un délai de prescription plus long, celui-ci est déterminant (art. 25 al. 2 2ème phrase LPGA). Lorsqu'il statue sur la créance de l'intimé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Dans un tel cas, les exigences constitutionnelles en matière d'appréciation des preuves en procédure pénale s'appliquent (ATF 138 V 74 consid. 7; arrêt du Tribunal fédéral 8C_592/2007 du 10 août 2008 consid. 5.3). Pour que le délai de prescription plus long prévu par le droit pénal s'applique, il n'est pas nécessaire que l'auteur de l'infraction ait été condamné (ATF 118 V 193 consid. 4a; ATF 113 V 256 consid. 4a; voir également ATF 122 III 225 consid. 4). En matière de prestations complémentaires, ce sont principalement les art. 31 LPC (art. 16 aLPC), 146 et 148a du Code pénal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en cas</w:t>
      </w:r>
    </w:p>
    <w:p>
      <w:r>
        <w:t>A/282/2018 - 14/27 - de violation du devoir d’informer. L’art. 146 al. 1 CP sanctionne l’infraction d’escroquerie d’une peine privative de liberté de cinq ans au plus ou d’une peine pécuniaire. Quant à l’art. 148a CP (entré en vigueur le 1er octobre 2016), qui vise l’obtention illicite de prestations d’une assurance sociale ou de l’aide sociale, il prévoit une peine privative de liberté d’un an au plus ou une peine pécuniaire (al. 1). Dans les cas de peu de gravité, la peine est l’amende (al. 2). Selon l'art. 97 al. 1 CP (art. 70 aCP dans sa teneur entrée en vigueur depuis le 1er octobre 2002), l'action pénale se prescrit par 30 ans si l'infraction était passible d'une peine privative de liberté à vie, par 15 ans si elle était passible d'une peine privative de liberté de plus de trois ans, et de sept ans si elle était passible d'une autre peine. Le délai de prescription de l'action pénale pour une infraction telle que celle décrite aux art. 31 LPC et 148a CP est donc de sept ans, celui de l’infraction visée à l'art. 146 al. 1 CP de quinze ans. L'art. 31 al. 1 let. a et d LPC punit d'une peine pécuniaire n'excédant pas 180 jours- amendes celui qui, par des indications fausses ou incomplètes ou de toute autre manière, obtient pour lui-même ou pour autrui l'octroi indu d'une prestation au sens de la loi sur les prestations complémentaires (let. a) ou manque à son obligation de communiquer (let. d). Le but de la norme est l'exécution conforme au droit, la plus efficiente et équitable possible, de la branche d'assurance des prestations complémentaires ainsi que la bonne foi dans les rapports entre les autorités et les personnes demandant des prestations. La norme constitue une infraction de résultat, laquelle est consommée du point de vue formel dès le premier versement de prestations complémentaires. À ce moment-là, tous les éléments constitutifs objectifs et subjectifs sont réalisés. Il ne s'agit pas d'un délit continu, même si, après l'admission d'une demande de prestations complémentaires, les versements sont effectués mensuellement et ainsi étalés dans le temps et que le demandeur de prestations a, pendant toute la durée des prestations, le devoir, en vertu de l'art. 24 de l’ordonnance sur les prestations complémentaires à l’assurance-vieillesse, survivants et invalidité du 15 janvier 1971 (OPC-AVS/AI – RS 831.3019), d'informer les autorités de toutes les circonstances qui pourraient avoir une influence sur le versement ou le montant des prestations. Celui qui commet une infraction au sens de l'art. 31 al. 1 LPC (correspondant à l'art. 16 aLPC) ne crée pas un état de fait contraire au droit mais provoque uniquement le résultat de l'infraction qui consiste en l'obtention indue de prestations. Le résultat de l'infraction ne dure pas mais est accompli à nouveau à chaque versement (ATF 131 IV 83consid. 2.1.1, in JdT 2007 IV 83). L'art. 24 OPC-AVS/AI, qui règle l'obligation de renseigner, prévoit que les ayants droit, leur représentant légal ou, le cas échéant, les tiers ou les autorités à qui la prestation complémentaire est versée, doivent communiquer sans retard à l'organe cantonal compétent tout changement dans la situation personnelle et toute modification sensible dans la situation matérielle du bénéficiaire de la prestation.</w:t>
      </w:r>
    </w:p>
    <w:p>
      <w:r>
        <w:t>A/282/2018 - 15/27 - Cette obligation de renseigner vaut aussi pour les modifications concernant les membres de la famille de l'ayant droit. Conformément à l'art. 12 CP, sauf disposition expresse et contraire de la loi, est seul punissable l'auteur d'un crime ou d'un délit qui agit intentionnellement (al. 1). Agit intentionnellement quiconque commet un crime ou un délit avec conscience et volonté. L'auteur agit déjà intentionnellement lorsqu'il tient pour possible la réalisation de l'infraction et l'accepte au cas où celle-ci se produirait (al. 2). L'art. 31 al. 1 LPC est un délit intentionnel (Urs MÜLLER, Rechtsprechung des Bundesgerichts zum ELG, 3ème éd. 2015, p. 330 n. 926). Cela suppose que l'auteur ait agi avec conscience et volonté, ou par dol éventuel (ATF 138 V 74 consid. 8.4.1). Il y a dol éventuel lorsque l'auteur envisage le résultat dommageable et agit, même s'il ne le souhaite pas, parce qu'il s'en accommode pour le cas où il se produirait (ATF 137 IV 1 consid. 4.2.3). Dans un arrêt 9C_171/2014 du 17 septembre 2014 (consid. 6.5), rendu en matière de prestations complémentaires, le Tribunal fédéral a jugé que, compte tenu des informations demandées dans le formulaire de demande de prestations, lesquelles concernaient aussi bien sa situation personnelle que celles de son épouse ou de ses enfants, l'assuré ne pouvait ignorer l'importance que revêtait la communication de toute information d'ordre économique le concernant lui ou un membre de sa famille. Dans ces conditions, force était d'admettre qu'il était conscient qu'il retenait des informations qu'il avait l'obligation de transmettre à l'administration, commettant ainsi un acte par dol éventuel. Le Tribunal fédéral a ainsi constaté que l'assuré réalisait les conditions objectives et subjectives de l'infraction réprimée à l'art. 31 al. 1 let. d LPC et que le délai de péremption de plus longue durée prévu par le droit pénal, soit en l'occurrence sept ans (art. 97 CP), était par conséquent applicable.</w:t>
      </w:r>
    </w:p>
    <w:p>
      <w:r>
        <w:rPr>
          <w:b/>
        </w:rPr>
        <w:t>E. 9</w:t>
      </w:r>
    </w:p>
    <w:p>
      <w:r>
        <w:t>a. En l’occurrence, le recourant et son épouse sont propriétaires d’une maison située à L_______ depuis 1963 (cf. rapport d’évaluation de F_______ du 16 novembre 2016). Mme J_______, née le 9 décembre 1965, a confirmé lors de l’audience d’enquêtes que ses parents avait acquis ce bien avant sa naissance. Ils possèdent également un appartement à M_______ depuis 1992 ainsi qu'un garage dépendant de ce bien depuis 2000 (cf. rapport d’évaluation précité). Mme J_______ a confirmé que ses parents étaient propriétaires de cet appartement depuis plus de trente ans. Ils ont par ailleurs acquis un appartement à N_______ le 16 décembre 2010 (cf. acte d’achat notarié). Le couple détient en outre un compte privé et un compte d’épargne auprès d’un établissement bancaire sis au Portugal, depuis à tout le moins le 1er novembre 2000 s’agissant du compte privé sur lequel il reçoit les rentes de vieillesse portugaises, puisque c’est à compter de cette date que le recourant touche sa rente étrangère. Or, c’est seulement en automne 2016 que le recourant et son épouse ont annoncé à</w:t>
      </w:r>
    </w:p>
    <w:p>
      <w:r>
        <w:t>A/282/2018 - 16/27 - l’intimé l'existence des biens immobiliers sis au Portugal ainsi que des avoirs bancaires dans ce pays, soit des éléments de fortune non déclarés auparavant. Ces faits nouveaux, découverts après coup, qui sont de nature à modifier le calcul des prestations, justifient, avec effet ex tunc, la révision des décisions précédemment rendues d'octroi de prestations complémentaires. b. L’intimé a appris ces faits entre le 31 octobre et le 23 décembre 2016 lors de la dernière révision périodique du dossier. En réclamant la restitution des prestations par décision du 24 février 2017, il a respecté le délai relatif d'une année à compter du moment où il a eu connaissance des faits. c. S'agissant du délai absolu, l'intimé ne prétend pas que le recourant se serait rendu coupable d'une escroquerie. À tout le moins, l'infraction prévue par l'art. 31 LPC entre en ligne de compte in casu, étant rappelé que l'art. 148a CP est applicable depuis le 1er octobre 2016 seulement. Le recourant, en ne déclarant pas à l'intimé les éléments de fortune précités, a réalisé les conditions de l'infraction réprimée à l'art. 31 al. 1 let. a et d LPC. En effet, il ne pouvait ignorer que les avoirs bancaires et les biens immobiliers sis à l'étranger étaient pertinents pour le calcul des prestations complémentaires, puisque le formulaire de demande de prestations requiert entre autres d'indiquer si lui et/ou son épouse est/sont propriétaire(s) d'un bien immobilier et/ou titulaire(s) d'un compte bancaire. Dans les déclarations des 15 avril 2008 et 27 mai 2008, signées par le recourant et son épouse, ces derniers ont – faussement − répondu qu'ils ne possédaient pas de biens immobiliers ni d'autres avoirs bancaires en Suisse et à l'étranger que ceux auprès d'E_______. Or, à ce moment, ils étaient déjà propriétaires de la maison sise à L_______ ainsi que de l'appartement et du garage à M_______, et étaient titulaires de comptes bancaires au Portugal. Pourtant, l'intimé adressait chaque année au recourant une communication par laquelle il attirait son attention sur son devoir de signaler tout changement dans sa situation personnelle et financière. Il était également invité à contrôler les montants figurant dans les décisions notifiées chaque année. Le recourant, conscient du fait qu'il détenait des informations qu'il avait l'obligation de transmettre à l'intimé, ne s'est toutefois pas manifesté à réception de ces décisions et communications annuelles, et a maintenu l'intimé dans l'erreur. Par son silence qualifié, il a accepté à tout le moins l'éventualité que l'intimé lui octroie des prestations complémentaires auxquelles il n'avait pas droit, de sorte qu'il a contrevenu à l'art. 31 al. 1 let. a et d LPC par dol éventuel chaque année de 2010 à 2016. Le délai de péremption de plus longue durée prévu par le droit pénal, soit en l'occurrence sept ans, est par conséquent applicable. Il s'avère ainsi que, contrairement à ce que prétend le recourant, la demande en restitution du 24 février 2017 n'est pas périmée pour la période courant du 1er mars 2010 au 31 décembre 2016.</w:t>
      </w:r>
    </w:p>
    <w:p>
      <w:r>
        <w:t>A/282/2018 - 17/27 - d. C'est également à tort que le recourant fait valoir qu'il a pu commettre uniquement une contravention au sens de l'art. 31 al. 2 LPC. Cette disposition stipule qu'« est puni d'une amende de CHF 5'000.- au plus, à moins que les faits ne relèvent de l'al. 1: celui qui, en violation de son obligation, donne sciemment des renseignements inexacts ou refuse d'en donner (let. a); celui qui s'oppose à un contrôle ordonné par l'autorité compétente ou rend ce contrôle impossible de toute autre manière (let. b) ». Dans la mesure où, comme exposé ci-dessus, le recourant a enfreint l'art. 31 al. 1 LPC, l'al. 2 de cette disposition n'entre pas en ligne de compte. e. On ne saurait par ailleurs suivre le raisonnement du recourant lorsqu'il soutient qu'il ne peut lui être reproché une infraction pénale, au motif qu'au vu de son état de santé, il ne disposait pas d'une capacité de discernement suffisante pour appréhender le caractère illicite de ses actes. Certes, il ressort des pièces médicales versées au dossier que le recourant a été victime d'un AVC en 2011, à la suite duquel il souffre de troubles de la mémoire. Toutefois, comme sa fille l'a affirmé lors de l'audience d'enquêtes, avant cette date, les parents géraient ensemble leurs dossiers administratifs. Or, le recourant qui était déjà propriétaire de biens immobiliers et titulaire de comptes bancaires au Portugal aurait dû informer l'intimé de ces faits bien avant 2011, à une époque où il pouvait effectivement traiter ses affaires lui-même. Il est donc responsable de la non- déclaration de ces éléments à l'intimé pour le moins jusqu'à la date de son accident. Pour la période postérieure, tant les médecins traitants que la fille du recourant indiquent que c'est l'épouse, avec l'aide d'un tiers (Hospice général), qui s'occupe des affaires administratives de son mari et collabore avec l'intimé. Dans ce cas, l'épouse agit en tant que représentant voire auxiliaire du recourant et son comportement est imputable à ce dernier (cf. ATAS/193/2019 du 4 mars 2019 consid. 7b). Selon la jurisprudence, la notion d'auxiliaire, qui doit être interprétée de manière large, s'applique également à toute personne qui, même sans être dans une relation juridique permanente avec la partie ou son mandataire, lui prête son concours (arrêt du Tribunal fédéral 2C_734/2012 du 25 mars 2013 consid. 3.3). Force est dès lors de constater que le comportement de l'épouse à compter de 2011 − elle n’a pas annoncé à l’intimé l’existence des biens immobiliers et des comptes bancaires à l’étranger − est imputable au recourant. Le fait que l'épouse ait finalement signalé ces faits à l'intimé en septembre 2016 importe peu, puisque les conditions objectives et subjectives de l'infraction réprimée à l'art. 31 al. 1 let. a et d LPC ont été réalisées chaque année de 2010 à 2016. f. Enfin, la mauvaise maîtrise de la langue française, contrairement à ce que prétend le recourant, n’est pas pertinente pour nier sa responsabilité pénale, puisque durant la période litigieuse, il (ou son épouse) envoyait, le cas échéant avec l’aide d’un tiers, à l’intimé les documents en sa faveur (pièces justificatives des frais médicaux,</w:t>
      </w:r>
    </w:p>
    <w:p>
      <w:r>
        <w:t>A/282/2018 - 18/27 - avis de majoration de loyer et de charges locatives). Lui ou son épouse pouvaient donc durant cette même période transmettre à l’intimé les informations relatives aux biens immobiliers en copropriété ainsi qu’aux avoirs bancaires à l’étranger, soient-elles en sa défaveur pour le calcul des prestations. g. En définitive, c'est à bon droit que l'intimé a exigé, dans son principe, la restitution des prestations versées indûment du 1er mars 2010 au 31 décembre 2016.</w:t>
      </w:r>
    </w:p>
    <w:p>
      <w:r>
        <w:rPr>
          <w:b/>
        </w:rPr>
        <w:t>E. 10</w:t>
      </w:r>
    </w:p>
    <w:p>
      <w:r>
        <w:t>Reste à déterminer si les montants pris en compte au titre de la fortune immobilière et du produit hypothétique de la fortune immobilière sont corrects.</w:t>
      </w:r>
    </w:p>
    <w:p>
      <w:r>
        <w:rPr>
          <w:b/>
        </w:rPr>
        <w:t>E. 11</w:t>
      </w:r>
    </w:p>
    <w:p>
      <w:r>
        <w:t>a.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Les personnes qui, en raison de revenus excédentaires, n'ont pas droit à une prestation complémentaire annuelle, ont droit au remboursement des frais de maladie et d'invalidité qui dépassent la part des revenus excédentaires (art. 14 al. 6 LPC). b. Selon l’art. 11 al. 1 LPC, les revenus déterminants comprennent notamment le produit de la fortune mobilière et immobilière (let. b); un dixième de la fortune nette, pour les bénéficiaires de rentes de vieillesse, dans la mesure où elle dépasse CHF 40'000.- pour les couples (CHF 60'000.- dès le 1er janvier 2011);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(let. c). La fortune, au sens de l'art. 11 al. 1 let. b et c LPC, comprend toutes les choses mobilières et immobilières ainsi que les droits personnels et réels qui sont la propriété de l'assuré et qui peuvent être transformés en espèces (par le biais d'une vente ou d'un nantissement par exemple) pour être utilisés (Urs MÜLLER, Bundesgesetz über Ergänzungsleistungen zur Alters-, Hinterlassenen- und Invalidenversicherung, 2006 n. 35 ; Ralph JÖHL/Patricia USINGER-EGGER, Ergänzungsleistungen zur AHV/IV in Schweizerisches Bundesverwaltungsrecht [SBVR], Band XIV, Soziale Sicherheit, 3ème éd. 2016, p. 1844 s n. 163). La notion englobe le produit transférable en Suisse d’une fortune qui se trouve à l’étranger (ch. 3431.01 des directives de l'office fédéral des assurances sociales (OFAS) concernant les prestations complémentaires à l’AVS et à l’AI [DPC]).</w:t>
      </w:r>
    </w:p>
    <w:p>
      <w:r>
        <w:t>A/282/2018 - 19/27 - À noter que l'art. 11 al. 1 let. c LPC mentionne la fortune nette, ce qui signifie que les dettes, telles que les dettes hypothécaires, les prêts, etc. doivent être déduites. L'existence de ces dettes doit cependant être prouvée (JÖHL, op.cit., p. 1793 n. 220). Selon la jurisprudence, il ne suffit pas d'émettre l'hypothèse qu'une fraction de la fortune correspondrait à des prêts ou appartiendrait à un tiers sans produire, ni s'appuyer sur le moindre élément concret (contrat de prêt, relevé de compte bancaire attestant un transfert de fonds, etc.; arrêt du Tribunal fédéral 9C_846/2010 du 12 août 2011 consid. 4.3). La seule possibilité qu'un événement se soit déroulé d'une certaine manière n'est pas suffisante pour retenir, au degré de la vraisemblance prépondérante, que cet événement est établi (arrêt du Tribunal fédéral 9C_717/2009 du 20 octobre 2009 consid. 3.3 et les références). Dans un arrêt P 57/05 du 29 août 2006, où l’intéressée invoquait que des membres de sa famille avaient largement financé son bien immobilier, le Tribunal fédéral a considéré qu’elle en était la seule propriétaire au regard de la situation juridique issue du droit civil. En vertu de l'art. 17 OPC-AVS/AI, la fortune prise en compte est évaluée selon les règles de la législation sur l'impôt cantonal direct du canton du domicile (al. 1). Lorsque l'immeuble ne sert pas à l'habitation du requérant ou à une personne comprise dans le calcul de la prestation complémentaire, il est pris en compte à sa valeur vénale (al. 4), soit la valeur du marché (DPC, ch. 3444.02). Dans ses commentaires concernant la modification de l'OPC-AVS/AI entrée en vigueur le 1er janvier 1992, l’OFAS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(arrêt du Tribunal fédéral P 13/01 du 25 février 2002 consid 5c/aa; RCC 1991 p. 424). Si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Quant aux immeubles sis à l'étranger, on peut se fonder sur une estimation établie à l'étranger s'il n'est pas raisonnablement possible de procéder à une autre estimation (arrêt du Tribunal fédéral 9C_540/2009 du 17 septembre 2009; DPC, ch. 3444.03).</w:t>
      </w:r>
    </w:p>
    <w:p>
      <w:r>
        <w:t>A/282/2018 - 20/27 - Dans le domaine des connaissances professionnelles particulières de l'expert, le juge ne peut s'écarter de l'opinion de celui-ci que pour des motifs importants qu'il lui incombe d'indiquer (ATF 130 I 337 consid. 5.4.2; ATF 128 I 81 consid. 2). Il y est notamment autorisé lorsque le rapport d'expertise présente des contradictions ou s'il attribue un sens ou une portée inexacts aux documents et déclarations auxquels il se réfère (ATF 101 IV 129 consid. 3a; arrêt du Tribunal fédéral 4A_204/2010 du 29 juin 2010 consid. 3.1.1). La valeur locative du logement occupé par le propriétaire ou l'usufruitier ainsi que le revenu provenant de la sous-location sont estimés selon les critères de la législation sur l'impôt cantonal direct du canton de domicile (art. 12 OPC-AVS/AI). Toutefois, lorsqu’un immeuble n’est pas situé dans le canton de Genève, l’administration fiscale peut faire recours à un taux forfaitaire de 4,5% de la valeur du bien pour fixer la valeur locative, et ce dans la mesure où les conditions locales ne peuvent pas être déterminées aisément, contrairement aux immeubles situés dans le canton (ATAS/655/2018; ATAS/43/2010, ATAS/732/2009, ATAS/399/07, ATAS 1040/05). Le Tribunal fédéral a jugé que l'emploi de ce taux n'apparaissait pas comme excessif (arrêt du Tribunal fédéral des assurances P 57/05 du 29 août 2006). S'agissant du taux de conversion applicable pour le calcul de la fortune immobilière et de la valeur locative y relative, il y a lieu d'appliquer les DPC. Le chiffre 2087.1 des DPC prévoyait dans sa version 2010, que pour les rentes et pensions versées en devises d'États parties à la Convention de libre passage CH-UE et à l'Accord de l'AELE, les taux de conversion applicables étaient ceux fixés par la Commission administrative des communautés européennes pour la sécurité sociale des travailleurs migrants et publiés au Journal officiel de l'Union européenne. Le cours de conversion applicable était le cours déterminant du début de l'année correspondante. Dès le 1er janvier 2013, le cours de conversion, selon le chiffre 3452.01 des DPC, correspond au cours du jour fixé par la Banque centrale européenne, soit pour la période du 1er janvier 2013 au 26 novembre 2015, le dernier cours du jour disponible du mois qui précède immédiatement le début du droit à la prestation et dès le 27 novembre 2015 le premier cours de ce jour. Bien que ces directives concernent les rentes servies, elles sont applicables mutatis mutandis aux autres éléments composant les revenus déterminants, tels que la fortune immobilière (ATAS/1146/2019 du 9 décembre 2019 consid. 8). c. Quant aux dépenses, elles comprennent notamment, selon l'art. 10 al. 1 LPC, les montants destinés à la couverture des besoins vitaux (let. a); le loyer d'un appartement et les frais accessoires y relatifs (let. b); et les frais d'entretien des bâtiments et les intérêts hypothécaires, jusqu'à concurrence du rendement brut de l'immeuble (al. 3 let. b).</w:t>
      </w:r>
    </w:p>
    <w:p>
      <w:r>
        <w:t>A/282/2018 - 21/27 -</w:t>
      </w:r>
    </w:p>
    <w:p>
      <w:r>
        <w:rPr>
          <w:b/>
        </w:rPr>
        <w:t>E. 12</w:t>
      </w:r>
    </w:p>
    <w:p>
      <w:r>
        <w:t>Sur le plan cantonal,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 11 al. 1 let. c de la loi fédérale, la part de la fortune nette prise en compte dans le calcul du revenu déterminant est de un cinquième pour les bénéficiaires de rentes de vieillesse, et ce après déduction des franchises prévues par cette disposition (let. c). Quant aux dépenses reconnues, elles sont énumérées par la loi fédérale et ses dispositions d'exécution, à l'exclusion du montant destiné à la couverture des besoins vitaux, remplacé par le montant destiné à garantir le revenu minimum cantonal d'aide sociale défini à l'art. 3 LPCC (art. 6 LPCC). Les bénéficiaires du revenu minimum cantonal d'aide sociale ont droit au remboursement des frais de maladie et d'invalidité dans les limites définies par la législation fédérale, mais seulement jusqu'à concurrence du solde non remboursé au titre des prestations complémentaires fédérales (art. 3 al. 4 LPCC).</w:t>
      </w:r>
    </w:p>
    <w:p>
      <w:r>
        <w:rPr>
          <w:b/>
        </w:rPr>
        <w:t>E. 13</w:t>
      </w:r>
    </w:p>
    <w:p>
      <w:r>
        <w:t>a. Pour le calcul de la prestation complémentaire fédérale annuelle, sont pris en compte en règle générale les revenus déterminants obtenus au cours de l’année civile précédente et l’état de la fortune le 1er janvier de l’année pour laquelle la prestation est servie (art. 23 al. 1 OPC-AVS/AI). Pour la fixation des prestations complémentaires cantonales, est déterminante la fortune au 1er janvier de l'année pour laquelle la prestation est demandée (art. 9 al. 1 let. b LPCC). En cas de modification importante des ressources ou de la fortune du bénéficiaire, la prestation est fixée conformément à la situation nouvelle (art. 9 al. 3 LPCC). Cela étant, selon l’art. 25 al. 1 OPC-AVS/AI,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(let. c); lors d’un contrôle périodique, si l’on constate un changement des dépenses reconnues, des revenus déterminants et de la fortune; on pourra renoncer à rectifier la prestation complémentaire annuelle, lorsque la modification est inférieure à CHF 120.- par an (let. d).</w:t>
      </w:r>
    </w:p>
    <w:p>
      <w:r>
        <w:t>A/282/2018 - 22/27 - Selon l’art. 25 al. 2 OPC-AVS/AI, la nouvelle décision doit porter effet dès la date suivante :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 b.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(ATF 122 V 19 consid. 5c, VSI 1996 p. 212).</w:t>
      </w:r>
    </w:p>
    <w:p>
      <w:r>
        <w:rPr>
          <w:b/>
        </w:rPr>
        <w:t>E. 14</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15</w:t>
      </w:r>
    </w:p>
    <w:p>
      <w:r>
        <w:t>a. En l'espèce, le recourant remet en cause la valeur totale des biens immobiliers sis au Portugal (qu'il n'habite pas et dont il est copropriétaire avec son épouse) prise en compte dans les plans de calcul, arguant, d'une part, que l'intimé aurait dû se fonder sur le rapport d'évaluation établi par l'ingénieur le 5 décembre 2018, et non sur celui émanant de l'agence immobilière F_______ du 16 novembre 2016; et d'autre part,</w:t>
      </w:r>
    </w:p>
    <w:p>
      <w:r>
        <w:t>A/282/2018 - 23/27 - que le bien immobilier sis à N_______, dont il ne conteste pas en soi la valeur (EUR 80'250.-) doit toutefois être comptabilisé à hauteur de 25 % seulement, au motif que ses trois enfants ont contribué à 75 % de l'acquisition de ce bien. b. Le raisonnement du recourant ne peut être suivi. b/aa. Le rapport d'évaluation du 5 décembre 2018 est sujet à caution. En effet, l'ingénieur évalue la maison sise à L_______ à EUR 3'500.- (contre EUR 18'600.- par F_______), et précise, de manière erronée, dans son rapport complémentaire du 25 février 2019, après que l'intimé ait fait remarquer qu'il n'a pas mentionné le n° de cadastre de ce bien, que ce dernier n'en a pas. Or, il ressort du document émanant des autorités fiscales portugaises relatif à la taxe foncière municipale pour l’année fiscale 2014 que le n° de cadastre 6_______, comme l'indique également l'agence F_______, est bel et bien attribué audit bien immobilier. En outre, compte tenu du fait que d'après l'ingénieur, la valeur des immeubles litigieux en 2018 est identique à celle des années précédentes, son évaluation de la valeur de cette maison ainsi que celle de l'appartement à M_______ (EUR 27'500.- contre EUR 32'100.- par F_______) n'est pas crédible, dès lors qu’en 2014 la valeur fiscale (en général, moins élevée que la valeur vénale) de la maison était de EUR 23'670.- et celle de cet appartement de EUR 37'170.-. En d'autres termes, la valeur vénale de la maison et celle de l'appartement en 2018, si identiques à celles en 2014 selon l'ingénieur, ne pouvait être inférieure à EUR 23'670.-, respectivement à EUR 37'170.-. Pour ces motifs, c'est à juste titre que l'intimé s'est fondé sur le rapport d'évaluation de F_______ du 16 novembre 2016. Au demeurant, dans son acte de recours, le recourant admettait que la valeur totale de ses biens immobiliers était de EUR 132'450.- selon l’estimation réalisée par F_______. b/bb. Certes, cette agence immobilière n'a pas précisé, comme le relève le recourant, la valeur des biens immobiliers pour les années 2010 à 2015, et l'intimé a retenu, pour toute la période litigieuse, comme valeur vénale celle fixée par F_______ en 2016 (excepté pour la période du 1er mars au 30 novembre 2010 où il n’a pas pris en compte le bien immobilier sis à N_______, acquis en décembre 2010), ce qui toutefois, compte tenu de la variation du taux de change, induit des montants différents d'une période à l'autre. Il n'en demeure pas moins que le calcul opéré par l'intimé est favorable au recourant. En effet, au 16 décembre 2010, le prix d'achat de l'immeuble à N_______ était de EUR 100'000.- (valeur du marché), si bien que c'est ce montant et non EUR 80'250.- qui aurait dû être pris en considération, à tout le moins, dès le 1er décembre 2010 et en 2011. En 2014 également, dès lors que la valeur fiscale de ce bien était de EUR 90'751.02, le montant qui aurait dû être comptabilisé dans les plans de calcul était en réalité bien supérieur à EUR 80'250.-. Il en va de même s'agissant de la valeur des autres biens immobiliers, dont le montant pris en compte par l'intimé en 2014 est inférieur à</w:t>
      </w:r>
    </w:p>
    <w:p>
      <w:r>
        <w:t>A/282/2018 - 24/27 - celui figurant dans le document susmentionné établi par les autorités fiscales portugaises. b/cc. L'on relèvera du reste que c'est à bon droit que l'intimé a retenu un montant de EUR 80'250.- en ce qui concerne l'appartement à N_______ et non pas uniquement 25 % de celui-ci comme le voudrait le recourant. Il ne suffit en effet pas de déclarer qu'une fraction de cette fortune correspond à des prêts. Encore faut-il, preuve à l'appui, démontrer au degré de la vraisemblance requis, que cette allégation est établie (cf. consid. 11.b ci-dessus). Or, aucun relevé bancaire n'atteste que chaque enfant aurait débité de son compte la somme − importante – de EUR 25'000.- avant de la remettre en main propre aux parents. De même, dans son attestation sur l'honneur du 26 juillet 2019, le fils indique que cette somme lui a été remboursée sur un compte bancaire lors de la vente de cet appartement en 2018. Il n'a toutefois produit aucun relevé de compte qui corroborerait ce fait. c/aa. S’agissant des taux de change applicables pour le calcul de la fortune immobilière sise à l’étranger, il y a lieu de rappeler que le cours de conversion applicable jusqu'au 31 décembre 2012 était le cours déterminant du début de l'année correspondante, fixé par la Commission administrative des communautés européennes pour la sécurité sociale des travailleurs migrants et publié au Journal officiel de l'Union européenne. Cette dernière a fixé les taux de conversion suivants pour l’Euro : CHF 1.51383 en janvier 2010 (Journal officiel de l’Union européenne 2009/C 264/06); CHF 1.34524 en janvier 2011 (Journal officiel de l’Union européenne 2010/C 300/04); et CHF 1.22953 en janvier 2012 (Journal officiel de l’Union européenne 2011/C 330/6). Ainsi, pour la période du 1er mars 2010 au 30 novembre 2010, l’intimé a retenu à juste titre une fortune immobilière de CHF 79'021.95 (soit EUR 52'200.- [sans tenir compte de l’appartement acquis en décembre 2010] × 1.51383 = CHF 79'021.926 ; cf. plan de calcul joint à l’écriture du 8 juillet 2019). Pour la période du 1er au 31 décembre 2010, la fortune immobilière était bel et bien de CHF 200'506.80 (soit EUR 132'450.- × 1.51383 = CHF 200'506.78). En 2011 et en 2012, la fortune immobilière s’élevait à juste titre à CHF 178'177.- (soit EUR 132'450.- × 1.34524 = CHF 178'177.03), respectivement à CHF 162'851.25 (soit EUR 132'450.- × 1.22953 = CHF 162'851.248). c/bb. En revanche, dès 2013, il y a lieu de se référer au taux publié par la Banque centrale européenne (au dernier cours du jour qui précède immédiatement le début du droit à la prestation jusqu’au 26 novembre 2015 et au premier cours de ce jour dès le 27 novembre 2015 le). Cette dernière a fixé les taux de conversion suivants pour l’Euro : CHF 1.2072 au 31 décembre 2012 ; CHF 1.2276 au 31 décembre 2013 ; CHF 1.2024 au 31 décembre 2014 et CHF 1.0835 au 31 décembre 2015 (cf. http://sdw.ecb.europa.eu/quickview.do;jsessionid=8DC850478B3C31BDE39C 3BC41E5E9D09?SERIES_KEY=120.EXR.D.CHF.EUR.SP00.A&amp;start=31-12- 2015&amp;end=31-12-2015&amp;trans=N&amp;resetSettings.x=31&amp;resetSettings.y=0).</w:t>
      </w:r>
    </w:p>
    <w:p>
      <w:r>
        <w:t>A/282/2018 - 25/27 - Ainsi, en 2013, la fortune immobilière à prendre à compte était de CHF 159'893.60 (soit EUR 132'450.- × 1.2072 = CHF 159'893.64), et non de CHF 162'595.60. En 2014, la fortune immobilière à prendre en compte était de CHF 162'595.60 (soit EUR 132'450.- × 1.2276 = CHF 162'595.62), et non de CHF 159'257.90. En 2015, la fortune immobilière à prendre en compte était de CHF 159'257.90 (soit EUR 132'450.- × 1.2024 = CHF 159'257.88), et non de CHF 143'509.60. En 2016, la fortune immobilière à prendre en compte était de CHF 143'509.60 (soit EUR 132'450.- × 1.0835 =CHF 143'509.575), et non de CHF 142'238.10. Il apparaît donc que l'intimé s'est fondé sur les bons cours de change, mais les a appliqués avec effet rétroactif. En effet, il a appliqué à l'année 2013 le dernier cours de change disponible au mois de décembre 2013, à l'année 2014, le dernier cours de change disponible au mois de décembre 2014 et ainsi de suite. La manière de procéder de l’intimé n’est pas conforme aux directives en la matière, dès lors que, pour 2013, il convenait de rechercher le dernier cours disponible au mois de décembre 2012 ; pour 2014, le cours était celui du mois de décembre 2013 et ainsi de suite. c/cc. En ce qui concerne le produit hypothétique de la fortune immobilière, l’intimé a appliqué à juste titre un taux forfaitaire de 4,5% de la valeur du bien (cf. consid. 11.b ci-dessus). Pour les années 2013 à 2016, il y a toutefois lieu de rectifier le montant à retenir à ce titre, puisque la fortune immobilière prise en considération par l’intimé pour ces années-ci était erronée comme on vient de le constater.</w:t>
      </w:r>
    </w:p>
    <w:p>
      <w:r>
        <w:rPr>
          <w:b/>
        </w:rPr>
        <w:t>E. 16</w:t>
      </w:r>
    </w:p>
    <w:p>
      <w:r>
        <w:t>En outre, l’intimé a omis de prendre en compte dans les plans de calcul, à titre de dépenses, le montant forfaitaire des frais d’entretien des bâtiments, en application des art. 10 al. 1 let. c LPC et 16 al. 1 OPC-AVS/AI. Selon l’art. 16 al. 1 OPC-AVS/AI, une déduction forfaitaire prévue pour l'impôt cantonal direct dans le canton de domicile s'applique aux frais d'entretien des bâtiments. À Genève, l'art. 20 al. 2 du règlement d'application de la loi sur l'imposition des personnes physiques dans sa teneur en vigueur dès le 11 novembre 2010 (RIPP – D 3 08.01) prévoit que la déduction forfaitaire, calculée sur la valeur locative selon l’art. 24 al. 2 de la loi sur l'imposition des personnes physiques du 27 septembre 2009 (LIPP - D 3 08), est de 10%, si l’âge du bâtiment au début de la période fiscale est inférieur ou égal à 10 ans (let. a); 20%, si l'âge du bâtiment au début de la période fiscale est supérieur à 10 ans (let. b). Cette déduction s’applique même si la personne n’habite pas le bien immobilier dont elle est propriétaire (ATAS/1122/2013 du 19 novembre 2013 consid. 16a et les références citées). Il n’est pas possible de se fonder sur les frais effectifs d’entretien des immeubles. La déduction forfaitaire des frais d’entretien s’applique même si l’immeuble n’est pas situé dans le canton (ATAS/1122/2013 du 19 novembre 2013 consid. 16b).</w:t>
      </w:r>
    </w:p>
    <w:p>
      <w:r>
        <w:t>A/282/2018 - 26/27 -</w:t>
      </w:r>
    </w:p>
    <w:p>
      <w:r>
        <w:rPr>
          <w:b/>
        </w:rPr>
        <w:t>E. 17</w:t>
      </w:r>
    </w:p>
    <w:p>
      <w:r>
        <w:t>Au vu de ce qui précède, le recours sera partiellement admis, et la décision du 7 décembre 2017 annulée. La cause sera renvoyée à l’intimé pour qu'il procède à de nouveaux calculs conformément aux considérants 15.c/bb, 15.c/cc et 16, puis statue à nouveau.</w:t>
      </w:r>
    </w:p>
    <w:p>
      <w:r>
        <w:rPr>
          <w:b/>
        </w:rPr>
        <w:t>E. 18</w:t>
      </w:r>
    </w:p>
    <w:p>
      <w:r>
        <w:t>Le recourant, représenté par un conseil, et obtenant partiellement gain de cause, aurait normalement droit à une indemnité de procédure, à titre de participation à ses frais et dépens (art. 61 let. g LPGA; art. 6 du règlement sur les frais, émoluments et indemnités en matière administrative, du 30 juillet 1986 [RFPA - E 5 10.03]). Toutefois, le contenu du recours n'ayant eu aucune incidence sur le sort de la présente procédure − le motif qui a conduit à l'annulation de la décision entreprise ayant dû être relevé d'office par la chambre de céans −, il n'y a pas lieu d'allouer des dépens (cf. ATAS/1128/2019 du 2 décembre 2019 consid. 18 et les références).</w:t>
      </w:r>
    </w:p>
    <w:p>
      <w:r>
        <w:rPr>
          <w:b/>
        </w:rPr>
        <w:t>E. 19</w:t>
      </w:r>
    </w:p>
    <w:p>
      <w:r>
        <w:t>Pour le surplus, la procédure est gratuite (art. 61 let. a LPGA).</w:t>
      </w:r>
    </w:p>
    <w:p>
      <w:r>
        <w:t>A/282/2018 - 27/27 -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