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ATAS/285/2013 vom 19. März 2013</w:t>
      </w:r>
    </w:p>
    <w:p>
      <w:r>
        <w:t>GE Cour de justice, 2013-03-19, FR</w:t>
      </w:r>
    </w:p>
    <w:p>
      <w:r>
        <w:rPr>
          <w:b/>
        </w:rPr>
        <w:t xml:space="preserve">Quelle: </w:t>
      </w:r>
      <w:r>
        <w:t>https://mcp.opencaselaw.ch/entscheid/ge_gerichte_ATAS_285_2013</w:t>
      </w:r>
    </w:p>
    <w:p>
      <w:r>
        <w:t>FR: GE_GERICHTE ATAS/285/2013 du 19 mars 2013</w:t>
      </w:r>
    </w:p>
    <w:p>
      <w:r>
        <w:t>IT: GE_GERICHTE ATAS/285/2013 del 19 marzo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 délai légal et la forme prescrite, le recours est recevable (art. 56 et 60 LPGA ; art. 89B de la loi sur la procédure administrative, du 12 septembre 1985 - LPA ; RS E 5 10).</w:t>
      </w:r>
    </w:p>
    <w:p>
      <w:r>
        <w:rPr>
          <w:b/>
        </w:rPr>
        <w:t>E. 3</w:t>
      </w:r>
    </w:p>
    <w:p>
      <w:r>
        <w:t>Le litige porte sur le droit du recourant à un subside de l'assurance-maladie pour l'année 2012.</w:t>
      </w:r>
    </w:p>
    <w:p>
      <w:r>
        <w:rPr>
          <w:b/>
        </w:rPr>
        <w:t>E. 4</w:t>
      </w:r>
    </w:p>
    <w:p>
      <w:r>
        <w:t>Conformément aux art. 65 et suivants LAMal, l'Etat de Genève accorde aux assurés de condition économique modeste des subsides destinés à la couverture totale ou partielle des primes de l'assurance-maladie (art. 19 al. 1 de la loi d'application de la loi fédérale sur l'assurance-maladie, du 29 mai 1997 (LaLAMal ; RS J 3 05)). La définition des assurés de condition économique modeste et la détermination du montant des subsides accordés à ses assurés est de la compétence du Conseil d'Etat (art. 3 al. 2 let. i LaLAMal).</w:t>
      </w:r>
    </w:p>
    <w:p>
      <w:r>
        <w:rPr>
          <w:b/>
        </w:rPr>
        <w:t>E. 5</w:t>
      </w:r>
    </w:p>
    <w:p>
      <w:r>
        <w:t>Le droit au subside est ouvert pour l'année civile à venir (art. 23 al. 2 LaLAMal).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Dès lors le Tribunal fédéral des assurances a jugé que les règles édictées par les cantons en matière de réduction des primes dans l'assurance-maladie constituent du droit cantonal autonome.</w:t>
      </w:r>
    </w:p>
    <w:p>
      <w:r>
        <w:rPr>
          <w:b/>
        </w:rPr>
        <w:t>E. 6</w:t>
      </w:r>
    </w:p>
    <w:p>
      <w:r>
        <w:t>Selon l'art. 20 LaLAMal, "Sous réserve des exceptions prévues par l’article 27, les subsides sont destinés : a) aux assurés de condition économique modeste;</w:t>
      </w:r>
    </w:p>
    <w:p>
      <w:r>
        <w:t>A/408/2013 - 4/8 - b) aux assurés bénéficiaires des prestations complémentaires à l’AVS/AI accordées par le service des prestations complémentaires (ci-après : service).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Le Conseil d'Etat détermine les conditions d'application des alinéas 2 et 3." La loi sur le revenu déterminant le droit aux prestations sociales cantonales (LRD) adoptée le 19 mai 2005 a pour but de définir les éléments entrant dans le calcul du revenu déterminant le droit aux prestations sociales cantonales soumis à condition de revenu. Elle définit de façon détaillée les revenus entrant en considération et les déductions admissibles en regard de la législation fiscale genevoise. Selon l'art. 2 du règlement d'exécution de la loi sur le revenu déterminant le droit aux prestations sociales cantonales - RRD, le revenu déterminant est établi sur la base de la situation économique du requérant deux ans avant l'année d'ouverture du droit aux prestations.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précédent l'année d'ouverture du droit à la prestation et portant sur les revenus réalisés deux ans avant l'année d'ouverture du droit à la prestation (art. 2 et 2A RRD). Selon l'art. 27 LaLAMal, "N’ont pas droit aux subsides : a) les assurés et leur conjoint ou leur partenaire enregistré, ainsi que ceux qui sont à leur charge, lorsqu'ils sont totalement ou partiellement exemptés d'impôt, en vertu des exemptions fiscales en matière internationale visées à l'article 16 de la loi sur l'imposition des personnes physiques, du 27 septembre 2009; b) les assurés qui font l'objet d'une taxation d'office; c) les assurés volontaires; d) les ressortissants des Etats membres de l’Union européenne qui reçoivent un titre de séjour conformément à l’article 24, paragraphe 1 ou 4, de l’annexe I de l’Accord entre la Communauté européenne et ses Etats membres, d’une part, et la</w:t>
      </w:r>
    </w:p>
    <w:p>
      <w:r>
        <w:t>A/408/2013 - 5/8 - Confédération suisse, d’autre part, sur la libre circulation des personnes ainsi que les ressortissants des pays membres de l'Association européenne de libre-échange qui reçoivent un titre de séjour conformément à l'article 23, paragraphe 1 ou 4, de l'annexe K – appendice 1 – de la convention instituant l'Association européenne de libre-échange."</w:t>
      </w:r>
    </w:p>
    <w:p>
      <w:r>
        <w:rPr>
          <w:b/>
        </w:rPr>
        <w:t>E. 7</w:t>
      </w:r>
    </w:p>
    <w:p>
      <w:r>
        <w:t>Au vu de ce qui précède, le revenu déterminant le droit au subside 2012 est celui réalisé en 2010. En l'espèce, le RDU de l'intéressé s'élève à 11'712 fr. et se situe dès lors en-dessous du revenu plancher. Il a néanmoins droit au subside de l'assurance-maladie s'il peut démontrer que sa situation en justifie l'octroi. L'art. 23 al. 5 LaLAMal prévoit en effet que "S’agissant des assurés visés par l’article 20, alinéas 2 et 3, lorsque leur situation économique justifie l’octroi de subsides, ils peuvent présenter une demande dûment motivée, accompagnée des pièces justificatives, au service de l’assurance- maladie."(cf. également art. 10 al. 6 RaLAMal)</w:t>
      </w:r>
    </w:p>
    <w:p>
      <w:r>
        <w:rPr>
          <w:b/>
        </w:rPr>
        <w:t>E. 8</w:t>
      </w:r>
    </w:p>
    <w:p>
      <w:r>
        <w:t>Afin de tenir compte de la situation économique réelle de l'intéressé, le SAM a ajouté au RDU de l'intéressé celui de sa concubine, avec laquelle il fait ménage commun. Il rappelle à cet égard que dans le formulaire de demande, l'intéressé a indiqué qu'il était à la charge de celle-ci.</w:t>
      </w:r>
    </w:p>
    <w:p>
      <w:r>
        <w:rPr>
          <w:b/>
        </w:rPr>
        <w:t>E. 9</w:t>
      </w:r>
    </w:p>
    <w:p>
      <w:r>
        <w:t>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 concubinage qualifié »; ATF 118 II 235 consid. 3a p. 237, 114 II 295 consid. 1a p. 297; voir également Urs Fasel/Daniela Weiss, Auswirkungen des Konkubinats auf (nach-) eheliche Unterhaltsansprüche, PJA 1/2007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(FamPra.ch 2004 p. 434 [arrêt du 12 janvier 2004, 2P.242/2003 consid. 2]; arrêt du</w:t>
      </w:r>
    </w:p>
    <w:p>
      <w:r>
        <w:rPr>
          <w:b/>
        </w:rPr>
        <w:t>E. 10</w:t>
      </w:r>
    </w:p>
    <w:p>
      <w:r>
        <w:t>En l'espèce, force est de considérer que le concubinage est stable puisqu'il dure depuis plusieurs années et que le couple a un enfant, et de conclure, au vu de la jurisprudence du TF susmentionnée, que l'addition des deux RDU effectuée par le SAM, en tant qu'elle permet d'établir la réalité de la situation économique de l'intéressé, se justifie. Il y a lieu de relever que la concubine de l'intéressé a également signé le formulaire de demande du subside. Or, il y est expressément indiqué que par sa signature, la personne délie l'administration fiscale cantonale du secret fiscal et l'autorise à communiquer au Centre de calcul du RDU les éléments de revenu et de fortune, tels qu'ils ressortent de son dossier fiscal. Le SAM ne serait sinon pas en mesure d'examiner la réelle situation économique de l'intéressé.</w:t>
      </w:r>
    </w:p>
    <w:p>
      <w:r>
        <w:rPr>
          <w:b/>
        </w:rPr>
        <w:t>E. 11</w:t>
      </w:r>
    </w:p>
    <w:p>
      <w:r>
        <w:t>Le recours est, au vu de ce qui précède, rejeté.</w:t>
      </w:r>
    </w:p>
    <w:p>
      <w:r>
        <w:rPr>
          <w:b/>
        </w:rPr>
        <w:t>E. 12</w:t>
      </w:r>
    </w:p>
    <w:p>
      <w:r>
        <w:t>Cela étant, la Cour de céans invite l'intéressé à transmettre au SAM les documents demandés, afin que ce service soit en mesure de lui notifier une nouvelle décision</w:t>
      </w:r>
    </w:p>
    <w:p>
      <w:r>
        <w:t>A/408/2013 - 7/8 - relative au changement de situation invoqué. Il lui est également rappelé qu'il a la possibilité de s'adresser au centre d'action sociale et de santé de son quartier pour un éventuel droit à des prestations sociales.</w:t>
      </w:r>
    </w:p>
    <w:p>
      <w:r>
        <w:t>A/408/2013 - 8/8 -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