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ATAS/285/2012 vom 19. März 2012</w:t>
      </w:r>
    </w:p>
    <w:p>
      <w:r>
        <w:t>GE Cour de justice, 2012-03-19, FR</w:t>
      </w:r>
    </w:p>
    <w:p>
      <w:r>
        <w:rPr>
          <w:b/>
        </w:rPr>
        <w:t xml:space="preserve">Quelle: </w:t>
      </w:r>
      <w:r>
        <w:t>https://mcp.opencaselaw.ch/entscheid/ge_gerichte_ATAS_285_2012</w:t>
      </w:r>
    </w:p>
    <w:p>
      <w:r>
        <w:t>FR: GE_GERICHTE ATAS/285/2012 du 19 mars 2012</w:t>
      </w:r>
    </w:p>
    <w:p>
      <w:r>
        <w:t>IT: GE_GERICHTE ATAS/285/2012 del 19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A/2491/2011 - 8/16 - les faits juridiquement déterminants se sont produits (ATF 130 V 229 consid. 1.1 et les références). Les règles de procédure s’appliquent quant à elles sans réserve dès le jour de son entrée en vigueur (ATF 117 V 71 consid. 6b). En l'espèce, la décision litigieuse du 28 juin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2.1</w:t>
      </w:r>
    </w:p>
    <w:p>
      <w:r>
        <w:t>et Message concernant la modification de la loi fédérale sur l'assurance- 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Est litigieux dans le cas d’espèce le droit du recourant à une rente de l’assurance- invalidité, singulièrement le taux d’invalidité présenté.</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A/2491/2011 - 9/16 -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A/2491/2011 - 10/16 -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l’occurrence, le recourant estime, en se référant aux avis des Drs P__________, O__________ et R__________, qu’en raison de ses atteintes à la santé il ne peut exercer une activité à plein temps, ce que conteste l’intimé, en se fondant sur l’appréciation de la Dresse S__________. Dans son rapport du 23 décembre 2010, la Dresse S__________, spécialiste FMH en rhumatologie et médecine interne auprès du BREM, a conclu qu’en raison d’une péri-arthropathie de l’épaule gauche résiduelle post-traumatique après acromioplastie et suture du sus-épineux en février 2009, une gonarthrose droite en poussée congestive prédominant au compartiment fémoro-patellaire, un diabète de type 2b, une insuffisance artérielle des membres inférieurs stade II, une spondylarthrose et spondylose hyperostosante, le recourant présente des limitations fonctionnelles. Compte tenu de ces atteintes somatiques, l’activité habituelle de déménageur n’était plus exigible. En revanche, dans une activité simple, légère, semi-sédentaire, évitant les activités en hauteur ou à genoux, sur terrains instables,</w:t>
      </w:r>
    </w:p>
    <w:p>
      <w:r>
        <w:t>A/2491/2011 - 11/16 - au froid ou à horaires irréguliers, la capacité de travail était entière, sans diminution de rendement. Le rapport en question procède d’une analyse complète de la situation médicale de l’intéressé, qui a été examiné par une spécialiste, et tient compte de ses plaintes. L’anamnèse est détaillée, la description et l’appréciation de la situation médicale sont claires. L’expert s’est exprimé sur la capacité de travail exigible et sur les limitations fonctionnelles. Les conclusions sont clairement motivées, elles n’apparaissent pas en contradiction avec les constatations cliniques dûment rapportées dans l’expertise. La Cour de céans observe par ailleurs que contrairement à ce que prétend le recourant, l’expert a pris en considération toutes les atteintes à la santé pour déterminer sa capacité de travail. Qui plus est, il n’apparaît nullement contradictoire de conclure à une capacité de travail entière, tout en retenant un certain nombre de limitations fonctionnelles, celles-ci ne faisant que restreindre le champ des activités exigibles. Aussi, doit-on admettre que ce rapport répond aux critères posés par la jurisprudence relative à la valeur probante des avis médicaux. Il convient encore d’examiner s’il existe un indice concret permettant de mettre en cause le bien-fondé de ces conclusions. Les Drs P__________ et O__________ ont certes fait état dans un premier temps d’une capacité de travail de 30% dans l’activité exercée par le recourant dès le 1er novembre 2009, estimant qu’il n’y a pas à attendre d’amélioration de la capacité de travail (rapports des 28 juin et 23 juillet 2010). Ces médecins traitants n’ont cependant plus été aussi catégoriques dans leurs rapports des 20 avril 2011, respectivement 9 mai 2011. La Dresse P__________ y évoque « une incapacité de travail plus importante » que celle retenue par l’expert du BREM, sans mentionner toutefois le taux de cette incapacité, et la Dresse O__________ ne s’est pas prononcée sur cette question. Qui plus est, ces médecins ne font pas état d’éléments objectivement vérifiables qui auraient été ignorés dans le cadre de l’expertise et suffisamment pertinents pour en remettre en cause les conclusions. On relèvera au demeurant que tant la Dresse P__________ que la Dresse O__________ sont d’avis que le recourant est apte à effectuer une reconversion professionnelle. S’agissant du rapport établi le 13 septembre 2010 par le Dr R__________, on relèvera qu’en l’absence notamment de diagnostic, d’anamnèse et d’appréciation médicale, la capacité de travail mentionnée, soit 50%, ne saurait être retenue. Le recourant fait encore valoir que la capacité de travail retenue par l’intimé ne devrait pas être identique à celle retenue par l’assureur-accidents car les affections à prendre en compte par l’assurance-invalidité sont plus nombreuses. La Cour de céans relèvera que le fait que l’expert ait retenu la même capacité de travail résiduelle que celle retenue par le Dr M__________ n’apparaît pas</w:t>
      </w:r>
    </w:p>
    <w:p>
      <w:r>
        <w:t>A/2491/2011 - 12/16 - contradictoire puisqu’il résulte de l’expertise que les atteintes d’origine maladive entraînent uniquement des limitations fonctionnelles et permettent au recourant de maintenir une capacité de travail entière. La Cour de céans constate ainsi qu’aucun des rapports versés au dossier n’apporte d’élément qui justifierait de s’écarter des conclusions bien motivées de la Dresse S__________, voire simplement qui fassent apparaître la nécessité d’une instruction complémentaire. Il apparaît dès lors superflu d’administrer d’autres preuves, comme le requiert le recourant (sur l’appréciation anticipée des preuves ; cf. ATF 122 II 469 consid. 4a ; 122 III 223 consid. 3c ; 120 Ib 229 consid. 2b ; 119 V 344 consid. 3c et la référence). En conséquence, c’est à juste titre que l’intimé a retenu que le recourant dispose d’une capacité résiduelle de travail raisonnablement exigible de 100% dans une activité adaptée. Reste à déterminer le taux d’invalidité.</w:t>
      </w:r>
    </w:p>
    <w:p>
      <w:r>
        <w:rPr>
          <w:b/>
        </w:rPr>
        <w:t>E. 9</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A/2491/2011 - 13/16 -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w:t>
      </w:r>
    </w:p>
    <w:p>
      <w:r>
        <w:t>A/2491/2011 - 14/16 -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w:t>
      </w:r>
    </w:p>
    <w:p>
      <w:r>
        <w:rPr>
          <w:b/>
        </w:rPr>
        <w:t>E. 10</w:t>
      </w:r>
    </w:p>
    <w:p>
      <w:r>
        <w:t>a) S’agissant du revenu de valide du recourant, il n’est pas contesté qu’il se serait élevé à 65'000 fr. par année en 2009. b) S’agissant du revenu avec invalidité, le recourant conteste le recours aux valeurs statistiques, faisant valoir que son activité actuelle épuise pleinement sa capacité résiduelle de travail. Force est cependant de constater que l’activité exercée par le recourant n’est pas adaptée à son handicap puisque, malgré l’aménagement de son poste de travail, son rendement est de 33% seulement, alors que sa capacité résiduelle de travail est entière, et ce sans baisse de rendement. En conséquence, il faut admettre que le recourant n’a pas repris d’activité adaptée lui permettant de mettre pleinement en valeur sa capacité de travail résiduelle de sorte qu’il y a lieu d’évaluer le revenu d’invalide sur la base des données statistiques. On ajoutera encore que le recours aux valeurs statistiques pour fixer le revenu d'invalide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Le recourant est d’avis qu’au vu de son âge, de l’absence de formation professionnelle et du nombre de limitations fonctionnelles, il est préférable qu’il reste à son poste actuel. Or, force est de constater qu’à la date virtuelle de la naissance du droit à la rente, le recourant était âgé de 52 ans, ce qui est très éloigné du seuil à partir duquel la jurisprudence parle d’âge avancé. Le recourant ne saurait par ailleurs se prévaloir de son manque de formation scolaire et professionnelle dès lors que de tels facteurs ne constituent pas des circonstances dont l'assurance- invalidité doit répondre (cf. ATF 107 V 21 consid. 2c). Enfin, quand bien même les activités proposées pourraient apparaître trop pénibles ou exigeantes au vu des limitations physiques et intellectuelles présentées, le marché du travail offre un large éventail d'activités légères, dont on doit convenir qu'un nombre significatif - en plus de celles citées par l'intimé - sont adaptées aux limitations du recourant et accessibles sans aucune formation particulière. Cela étant, le recourant est en</w:t>
      </w:r>
    </w:p>
    <w:p>
      <w:r>
        <w:t>A/2491/2011 - 15/16 - mesure de mettre à profit sa capacité résiduelle de travail sur un marché équilibré du travail. En l’espèce, le salaire de référence est celui auquel peuvent prétendre les hommes effectuant des activités simples et répétitives (niveau de qualification 4) dans le secteur privé, à savoir 57’672 fr. par année (Enquête suisse sur la structure des salaires 2008,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2008 (41,7 heures; La Vie économique, 4-2009, p. 90, B9.2), et comme le revenu statistique 2008 doit être adapté à l’augmentation des salaires nominaux pour les hommes en 2009 (+2.1% ; La Vie économique, T1.39) ce montant doit être porté à 61'386 fr. (57'672 + 2.1% = 58'883 x 41.7 : 40). A ce montant, il convient encore, conformément à la jurisprudence, d’appliquer un facteur de réduction sur le salaire statistique. Compte tenu de la situation personnelle et professionnelle du recourant, la Cour de céans n’a aucune raison de s’écarter du taux de réduction de 10% pris en compte par l’intimé. Hormis les limitations fonctionnelles et le nombre d’années de service, il n’y a pas d’autre élément à prendre en considération. Compte tenu de l’abattement de 10%, le revenu d’invalide sur la base statistique s’élève à 55'247 fr. (61'386 - 6'138), qui, une fois comparé avec le revenu sans invalidité de 65'000 fr., donne un taux d’invalidité de 15% (65'000 - 55'247 : 65'000 x 100) soit un taux correspondant à celui calculé par l’intimé et qui est de loin inférieur à la limite de 40% ouvrant droit à un quart de rente. Il sied de relever que même si l’intimé avait admis une réduction maximale de 25% lors du calcul du revenu brut annuel avec invalidité, soit un montant de 46'040 fr. (61'386 - 15'346), le degré d’invalidité obtenu de 29% (65'000 - 46'040 : 65'000 x 100) n’aurait pas donné droit à une rente.</w:t>
      </w:r>
    </w:p>
    <w:p>
      <w:r>
        <w:rPr>
          <w:b/>
        </w:rPr>
        <w:t>E. 11</w:t>
      </w:r>
    </w:p>
    <w:p>
      <w:r>
        <w:t>La décision entreprise n’est ainsi pas critiquable dans son résultat et le recours se révèle mal fondé.</w:t>
      </w:r>
    </w:p>
    <w:p>
      <w:r>
        <w:rPr>
          <w:b/>
        </w:rPr>
        <w:t>E. 12</w:t>
      </w:r>
    </w:p>
    <w:p>
      <w:r>
        <w:t>Au vu de ce qui précède, le recours sera rejeté. Étant donné que depuis le 1er juillet 2006, la procédure n'est plus gratuite (art. 69 al. 1bis LAI), il y a lieu de condamner le recourant au paiement d'un émolument de 200 fr.</w:t>
      </w:r>
    </w:p>
    <w:p>
      <w:r>
        <w:t>A/2491/2011 - 16/16 -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