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ATAS/285/2010 vom 18. März 2010</w:t>
      </w:r>
    </w:p>
    <w:p>
      <w:r>
        <w:t>GE Cour de justice, 2010-03-18, FR</w:t>
      </w:r>
    </w:p>
    <w:p>
      <w:r>
        <w:rPr>
          <w:b/>
        </w:rPr>
        <w:t xml:space="preserve">Quelle: </w:t>
      </w:r>
      <w:r>
        <w:t>https://mcp.opencaselaw.ch/entscheid/ge_gerichte_ATAS_285_2010</w:t>
      </w:r>
    </w:p>
    <w:p>
      <w:r>
        <w:t>FR: GE_GERICHTE ATAS/285/2010 du 18 mars 2010</w:t>
      </w:r>
    </w:p>
    <w:p>
      <w:r>
        <w:t>IT: GE_GERICHTE ATAS/285/2010 del 18 marzo 2010</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V 467 consid. 1, 126 V 136 consid. 4b et les références). Les règles de procédure quant à elles s’appliquent sans réserve dès le jour de son entrée en vigueur (ATF 117 V 93 consid. 6b, 112 V 360</w:t>
      </w:r>
    </w:p>
    <w:p>
      <w:r>
        <w:t>A/4350/2009 - 4/6 - consid. 4a ;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c’est à bon droit que l’intimé a prononcé une suspension du droit à l’indemnité de chômage de neuf jours dans le cas du recourant.</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 verwaltungsrecht [SBVR], Soziale Sicherheit, 2ème éd., Nos837 et 838 p. 2429ss; Boris RUBIN, Assurance-chômage, Droit fédéral, Survol des mesures cantonales, Procédure, 2ème éd., Zurich 2006, p. 388).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A/4350/2009 - 5/6 -</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rPr>
          <w:b/>
        </w:rPr>
        <w:t>E. 6</w:t>
      </w:r>
    </w:p>
    <w:p>
      <w:r>
        <w:t>En l’espèce, le recourant était au bénéfice d'un contrat travail de durée déterminée expirant le 31 mars 2009. Il est établi qu'il ne s’est livré qu’à une recherche d’emploi en juin et cinq en août. Or, il ne pouvait déduire des déclarations du directeur dont il affirme qu’il lui a dit « compter sur lui pour la saison suivante », qu’il pourrait éviter le chômage, d’autant que, dans le meilleur des cas, ce contrat avec la Ville n’aurait débuté qu’en octobre 2009. S’agissant de la période d’avril à septembre 2009, l’assuré avait encore moins de raisons de penser qu’il pourrait retrouver un poste. En conséquence, au regard des principes exposés supra, il lui incombait d'entamer des démarches intensives en vue de trouver un nouvel emploi avant même la fin de son contrat et en tous les cas durant les mois précédant son annonce à l’ORP, de sorte que c’est à juste titre que l’intimé a considéré que l'assuré n'avait pas fait tous les efforts que l'on pouvait raisonnablement exiger de lui pour éviter le chômage au sens de l'art. 17 al. 1 1ère phrase LACI. Quant l’argument du recourant selon lequel il n’aurait pas été dûment informé, il ne saurait être retenu. En effet, le Tribunal fédéral considère que l’obligation faite aux assurés de chercher un emploi avant le début du chômage constitue une règle élémentaire de comportement, de sorte qu’un assuré doit être sanctionné même s’il n’a pas été renseigné précisément sur les conséquences de son inaction (cf. ATF 8C_271/2008 du 25 septembre 2008, consid. 2.1, ATF 124 V 225 consid. 5b p. 233; ATFA C 144/05 du 1er décembre 2005 consid. 5.2.1, ATFA C 199/05 du 29 septembre 2005 consid. 2.2). Enfin, on relèvera que quotité de la sanction respecte tant le barème proposé par le SECO que le principe de proportionnalité. Le recours est donc rejeté.</w:t>
      </w:r>
    </w:p>
    <w:p>
      <w:r>
        <w:t>A/4350/2009 - 6/6 -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