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ATAS/284/2022 vom 23. März 2022</w:t>
      </w:r>
    </w:p>
    <w:p>
      <w:r>
        <w:t>GE Cour de justice, 2022-03-23, FR</w:t>
      </w:r>
    </w:p>
    <w:p>
      <w:r>
        <w:rPr>
          <w:b/>
        </w:rPr>
        <w:t xml:space="preserve">Quelle: </w:t>
      </w:r>
      <w:r>
        <w:t>https://mcp.opencaselaw.ch/entscheid/ge_gerichte_ATAS_284_2022</w:t>
      </w:r>
    </w:p>
    <w:p>
      <w:r>
        <w:t>FR: GE_GERICHTE ATAS/284/2022 du 23 mars 2022</w:t>
      </w:r>
    </w:p>
    <w:p>
      <w:r>
        <w:t>IT: GE_GERICHTE ATAS/284/2022 del 23 marzo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A/464/2021 - 4/14 -</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sur le droit de la recourante aux prestations de l’assurance-invalidité.</w:t>
      </w:r>
    </w:p>
    <w:p>
      <w:r>
        <w:rPr>
          <w:b/>
        </w:rPr>
        <w:t>E. 5</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6.1</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A/464/2021 - 5/14 -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6.2.1</w:t>
      </w:r>
    </w:p>
    <w:p>
      <w:r>
        <w:t>L'évaluation des syndromes sans pathogenèse ni étiologie claires et sans constat de déficit organique ne fait pas l'objet d'un consensus médical (arrêt du Tribunal fédéral 9C_619/2012 du 9 juillet 2013 consid. 4.1). 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Les principes jurisprudentiels développés en matière de troubles somatoformes douloureux sont également applicables à la fibromyalgie (ATF 132 V 65 consid. 4.1). La fibromyalgie est une affection rhumatismale reconnue par l'Organisation mondiale de la santé (CIM-10, M79.0). Elle est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Les critères diagnostiques, établis pour la première fois par l'American Rheumatism Association, sont la combinaison d'une douleur généralisée intéressant l'axe du corps, les hémicorps droit et gauche, à la fois au- dessus et en dessous de la taille, durant au moins trois mois, ainsi que des douleurs à la palpation d'au moins 11 points douloureux ("tender points") sur 18. Si les symptômes fibromyalgiques se manifestent de la même manière sous les deux formes, celle secondaire - qui est trois fois plus répandue dans la population - se distingue de celle primaire par le fait qu'elle se trouve associée à d'autres maladies (par exemple des maladies dégénératives rhumatismales). Aucune étiologie n'a pu être clairement établie pour la forme primaire de la fibromyalgie, dont le diagnostic est posé par exclusion (tender points douloureux en l'absence de tout autre maladie, en particulier inflammatoire) (ATF 132 V 65). La reconnaissance de l'existence d’une fibromyalgie suppose d'abord la présence d'un diagnostic émanant d’un rhumatologue s'appuyant lege artis sur les critères d'un système de classification reconnu (ATF 132 V 65 consid. 3.2).</w:t>
      </w:r>
    </w:p>
    <w:p>
      <w:r>
        <w:rPr>
          <w:b/>
        </w:rPr>
        <w:t>E. 6.2.2</w:t>
      </w:r>
    </w:p>
    <w:p>
      <w:r>
        <w:t>Le Tribunal fédéral a développé dans sa jurisprudence relative à l’établissement de la capacité de travail exigible des personnes souffrant d’une symptomatologie douloureuse sans substrat organique les indicateurs suivants. Le point de départ est le degré de gravité minimal inhérent au diagnostic. Il doit être rendu vraisemblable compte tenu de l’étiologie et de la pathogenèse de la</w:t>
      </w:r>
    </w:p>
    <w:p>
      <w:r>
        <w:t>A/464/2021 - 6/14 - pathologie déterminante pour le diagnostic. Les constatations relatives aux manifestations concrètes de l’atteinte à la santé diagnostiquée permettent de distinguer les limitations fonctionnelles causées par l'atteinte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w:t>
      </w:r>
    </w:p>
    <w:p>
      <w:r>
        <w:t>A/464/2021 - 7/14 - comparer le niveau d’activité sociale de l’assuré avant et après la survenance de l’atteinte à la santé.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6.2.3</w:t>
      </w:r>
    </w:p>
    <w:p>
      <w:r>
        <w:t>Le juge vérifie librement si l’expert médical a exclusivement tenu compte des déficits fonctionnels résultant de l’atteinte à la santé et si son évaluation de l’exigibilité repose sur une base objective.</w:t>
      </w:r>
    </w:p>
    <w:p>
      <w:r>
        <w:rPr>
          <w:b/>
        </w:rPr>
        <w:t>E. 6.3.1</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6.3.3</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w:t>
      </w:r>
    </w:p>
    <w:p>
      <w:r>
        <w:t>A/464/2021 - 8/14 -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6.3.4</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w:t>
      </w:r>
    </w:p>
    <w:p>
      <w:r>
        <w:t>A/464/2021 - 9/14 -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6.4.1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6.4.2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 ATF 122 V 157 consid. 1d).</w:t>
      </w:r>
    </w:p>
    <w:p>
      <w:r>
        <w:rPr>
          <w:b/>
        </w:rPr>
        <w:t>E. 6.4.3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w:t>
      </w:r>
    </w:p>
    <w:p>
      <w:r>
        <w:t>A/464/2021 - 10/14 - demander un complément à l'expert (ATF 137 V 210 consid. 4.4.1.3 et 4.4.1.4; SVR 2010 IV n. 49 p. 151, consid. 3.5; arrêt du Tribunal fédéral 8C_760/2011 du 26 janvier 2012 consid. 3).</w:t>
      </w:r>
    </w:p>
    <w:p>
      <w:r>
        <w:rPr>
          <w:b/>
        </w:rPr>
        <w:t>E. 7</w:t>
      </w:r>
    </w:p>
    <w:p>
      <w:r>
        <w:t>En l’espèce, il convient d’examiner en premier lieu la valeur probante de l’expertise du Dr B______ du 1er juillet 2020.</w:t>
      </w:r>
    </w:p>
    <w:p>
      <w:r>
        <w:rPr>
          <w:b/>
        </w:rPr>
        <w:t>E. 7.1</w:t>
      </w:r>
    </w:p>
    <w:p>
      <w:r>
        <w:t>La recourante, sans véritablement remettre en question la valeur probante de l’expertise, semble contester les diagnostics et la capacité de travail retenus par l’expert. Elle s’est toutefois limitée à substituer sa propre appréciation à celle de l’expert et n’a pas fait pas état d’éléments objectivement vérifiables qui auraient été ignorés dans le cadre de l’expertise et seraient suffisamment pertinents pour remettre en cause les conclusions motivées de l’expert.</w:t>
      </w:r>
    </w:p>
    <w:p>
      <w:r>
        <w:rPr>
          <w:b/>
        </w:rPr>
        <w:t>E. 7.2</w:t>
      </w:r>
    </w:p>
    <w:p>
      <w:r>
        <w:t>Ce dernier a pris en compte le fait que la recourante pensait que le syndrome d’Ehlers-Danlos était la source de toute sa symptomatologie douloureuse et tenu compte des rapports médicaux au dossier. Il a en particulier indiqué que son appréciation s’apparentait à celle du docteur C______, spécialiste en rhumatologie, qui, en 2015, évoquait des douleurs axiales et polyarticulaires d’allure mixte dans un contexte d’hyperlaxité ligamentaire, qui comme le syndrome d’Ehlers-Danlos affectait le collagène. Selon l’expert, il n’y avait pas à proprement parler de divergences ressortant du dossier à mettre en évidence.</w:t>
      </w:r>
    </w:p>
    <w:p>
      <w:r>
        <w:rPr>
          <w:b/>
        </w:rPr>
        <w:t>E. 7.3</w:t>
      </w:r>
    </w:p>
    <w:p>
      <w:r>
        <w:t>Le rapport établi le 1er novembre 2019 par la doctoresse D______, médecin adjointe agréée du service de médecine génétique des hôpitaux universitaires de Genève (HUG), ne remet pas en cause les conclusions de l’expertise, dès lors que celle-ci ne s’est pas prononcée sur la capacité de travail de la recourante et qu’elle a posé un diagnostic de collagénopathie non spécifique, ce qui n’apparaît pas contradictoire avec le diagnostic d’hyperlaxité ligamentaire bénigne retenu par l’expert.</w:t>
      </w:r>
    </w:p>
    <w:p>
      <w:r>
        <w:rPr>
          <w:b/>
        </w:rPr>
        <w:t>E. 7.4</w:t>
      </w:r>
    </w:p>
    <w:p>
      <w:r>
        <w:t>Dans un rapport établi le 18 novembre 2019, la doctoresse E______, spécialiste en médecine interne générale, a indiqué que depuis le début de l’année 2016, la recourante avait des crises de douleurs axiales et d’arthralgies prédominant aux épaules, coudes, poignets, bassin et genoux et résistant aux AINS, avec une raideur matinale de 15 à 30 minutes, ainsi qu’une hyperlaxité ligamentaire de toutes les articulations. Les diagnostics ayant une incidence sur la capacité de travail étaient des douleurs axiales et polyarthralgies d’aspect mixte (2017), un syndrome d’hyperlaxité ligamentaire ainsi qu’un possible syndrome d’Ehlers-Danlos (2017). L’assurée pouvait travailler dans son activité habituelle et dans une activité adaptée au maximum deux à trois heures par jour. Elle était limitée dans les activités de nettoyage et de repassage s’agissant des tâches ménagères. Sur le plan professionnel, elle devait éviter la position assise prolongée et le travail soutenu avec les mains et les membres supérieurs. La capacité de travail et le rendement étaient très restreints en raison des douleurs dorsolombaires et des arthralgies des mains, des poignets, des coudes et des</w:t>
      </w:r>
    </w:p>
    <w:p>
      <w:r>
        <w:t>A/464/2021 - 11/14 - épaules. L’assurée avait des connaissances linguistiques et un diplôme dans le marketing de la communication. Il faut constater que les limitations fonctionnelles retenues par ce médecin sont proches de celles retenues par l’expert, à savoir que l’assurée devait éviter le port de charges répétitifs en porte-à-faux avec long bras de levier de plus de 5 à 10 kg et les positions immobiles assises prolongées de plus de deux heures. La Dresse E______ avait une autre appréciation de la capacité de travail de la recourante que l’expert, mais n’apportait pas d’élément qui aurait été ignoré par ce dernier ou faisant sérieusement douter de ses conclusions. Par ailleurs, dans son rapport du 20 février 2020, la Dresse E______ a indiqué que la recourante était capable d’exercer une activité professionnelle adaptée à son état de santé à 30% depuis 2 à 3 ans, précisant qu’un examen médical complémentaire serait nécessaire pour évaluer les conséquences de l’atteinte à la santé sur la capacité de travail. Il en résulte que ses conclusions sur la capacité de travail n’étaient pas définitives et par conséquent que sa première appréciation à ce sujet était peu probante. Enfin, comme l’a relevé le SMR le 3 juin 2020, les conclusions de la Dresse E______ ne sont pas convaincantes, car les limitations fonctionnelles retenues par elle justifiaient difficilement une incapacité de travail de 70% dans toute activité.</w:t>
      </w:r>
    </w:p>
    <w:p>
      <w:r>
        <w:rPr>
          <w:b/>
        </w:rPr>
        <w:t>E. 7.5</w:t>
      </w:r>
    </w:p>
    <w:p>
      <w:r>
        <w:t>Le docteur F______, médecin interne générale, a indiqué dans un rapport du 3 janvier 2020 avoir vu l’assurée à une seule reprise le 28 novembre 2018, qu’elle souffrait du syndrome d’Ehlers-Danlos hyperlaxe polysystémique et qu’il n’était pas en mesure de répondre aux questions sur la capacité de travail. Ce rapport ne suffit pas non plus à remettre en cause la valeur probante de l’expertise.</w:t>
      </w:r>
    </w:p>
    <w:p>
      <w:r>
        <w:rPr>
          <w:b/>
        </w:rPr>
        <w:t>E. 7.6</w:t>
      </w:r>
    </w:p>
    <w:p>
      <w:r>
        <w:t>La recourante n’a pas produit d’autres rapports médicaux postérieurs à l’expertise remettant en cause les conclusions de celle-ci.</w:t>
      </w:r>
    </w:p>
    <w:p>
      <w:r>
        <w:rPr>
          <w:b/>
        </w:rPr>
        <w:t>E. 7.7.1</w:t>
      </w:r>
    </w:p>
    <w:p>
      <w:r>
        <w:t>L’expert a posé le diagnostic non incapacitant de syndrome polyinsertionnel douloureux récurrent fibromyalgiforme (minime diminution du seuil de déclenchement de la douleur avec 14 sur 18 points douloureux) relevant que la laxité ligamentaire restait modeste et qu’elle ne permettait pas d’expliquer l’ampleur de la symptomatologie douloureuse. L’expert a retenu que cette atteinte n’était pas incapacitante en se fondant sur le peu de gravité de l’atteinte, qualifiée de minime, et sur le fait qu’il avait constaté que l’assurée bougeait, s’habillait et se déshabillait de manière fluide et autonome et qu’elle avait été capable de rester assise sans adopter de position antalgique pendant tout l’entretien. Il a considéré que les ressources disponibles paraissaient bonnes, l’assurée s’occupant de son enfant de 19 mois et étant enceinte de cinq mois. Elle était bien insérée dans le tissu socio-familial et était capable de s’occuper de son ménage de manière autonome. Depuis son arrêt de travail de</w:t>
      </w:r>
    </w:p>
    <w:p>
      <w:r>
        <w:t>A/464/2021 - 12/14 - longue durée, soit mars 2020, elle n’avait pas repris d’activité professionnelle pour des raisons peu claires. L’assurée était persuadée que le syndrome d’Ehlers- Danlos était la source de toute sa symptomatologie douloureuse et de l’impotence fonctionnelle qui en découlait. Anamnestiquement, elle paraissait bien résister au stress. Il a également relevé que l’avenir était perçu par la recourante comme assombri de manière générale en lien avec une activité professionnelle et qu’elle ne pouvait se projeter dans un avenir professionnel. La thérapie suivie par l’assurée était conduite dans les règles de l’art, sans interruption et avec une bonne collaboration de celle-ci. Elle bénéficiait d’une prise en charge régulière physiothérapeutique avec un effet positif et une médication antalgique majeure prise rarement (6 fois en 3 ans).</w:t>
      </w:r>
    </w:p>
    <w:p>
      <w:r>
        <w:rPr>
          <w:b/>
        </w:rPr>
        <w:t>E. 7.7.2</w:t>
      </w:r>
    </w:p>
    <w:p>
      <w:r>
        <w:t>La recourante a déclaré à la chambre de céans qu’elle n’avait pas produit de rapports médicaux complémentaires, car elle venait de terminer d'allaiter sa seconde fille et que cela pouvait avoir un effet sur la maladie. Au quotidien, elle souffrait de douleurs articulaires de moyennement fortes à extrêmement fortes et de tremblements, principalement à la main droite. À chacune de ses grossesses, les symptômes s’étaient améliorés, mais malheureusement, ils avaient repris après la fin de l'allaitement. Elle avait des symptômes depuis toujours, mais ils étaient devenus handicapants depuis 2017 environ. C'était pour cela qu’elle travaillait comme graphiste à la maison. Cela lui permettait d’adapter son temps de travail. Certains jours, elle ne pouvait pas du tout travailler et d'autres cela allait mieux. Actuellement, les tremblements reprenaient. Elle avait terminé d'allaiter trois semaines auparavant. Elle avait trois ou quatre fois par semaine des crises fortes qui l'empêchaient de travailler, en principe une bonne partie ou toute la journée. Si elles survenaient ou se prolongeaient la nuit, elle ne pouvait pas dormir et était fatiguée le lendemain, ce qui l’empêchait de travailler. On lui avait prescrit un antalgique très fort, l'Oxynorm. Elle essayait de ne pas prendre des antalgiques, car elle avait une résistance aux antidouleurs. Lorsqu’elle en prenait, ils étaient moins efficaces la fois d'après. Elle soulageait sa douleur avec un système de tens, un électrostimulateur. Son cerveau percevait ainsi moins sa douleur et cela la soulageait un peu ou beaucoup selon les jours. Quand elle avait des douleurs, elle essayait de rester tranquille ou prenait son médicament, si elle y arrivait physiquement, à cause de la douleur ou des tremblements. Parfois ses jambes ne fonctionnaient plus. Son mari l'avait plusieurs fois retrouvée à terre. Actuellement, elle vivait seule, mais le père de son second enfant venait régulièrement l'aider. Globalement, elle gérait ses enfants. Elle pouvait utiliser son téléphone avec une seule main, mais pas ouvrir un flacon de médicaments, ce qui demandait les deux mains. Elle arrivait à porter ses enfants, à faire à manger et le ménage, mais avec toute une organisation. Elle préparait des repas à l'avance, les jours où elle allait bien. En règle générale, elle arrivait à sortir avec ses enfants au parc. Des amis l’aidaient. Sa mère était à l'assurance-invalidité, depuis 4 ans environ, avec un diagnostic de fibromyalgie.</w:t>
      </w:r>
    </w:p>
    <w:p>
      <w:r>
        <w:t>A/464/2021 - 13/14 - Sur le plan psychologique, la recourante allait bien. Elle était suivie par une psychothérapeute, pour diverses raisons, notamment sa maladie, mais surtout en lien avec sa séparation d’avec son ex-conjoint. Avant elle faisait beaucoup de dessin, mais actuellement elle ne le pouvait plus, en raison de sa motricité limitée et ses douleurs aux mains. Ses loisirs se limitaient à ses activités avec ses filles. Avec la Covid et la grossesse, elle avait limité ses contacts externes, mais il lui arrivait de rencontrer des amis. En règle générale, elle allait beaucoup mieux, mais cela ne voulait pas dire qu’elle n’avait plus de douleurs. Ce qui la bloquait pour travailler, c'était les tremblements de la main droite, car elle devait utiliser une souris d'ordinateur. La plupart du temps, elle arrivait à fonctionner dans ses activités, car elle les adaptait à son état. Il était plus rare qu’elle soit complètement bloquée. Cela arrivait 3 ou 4 fois dans le mois et durait entre trois ou quatre heures ou toute la journée. Soit ses articulations ne fonctionnaient pas, ce qui n'entraînait pas forcément des douleurs fortes, soit elle avait des douleurs très intenses qui n'entraînaient pas forcément des problèmes d'articulation. Elle avait plus souvent des problèmes d'articulations que de douleurs intenses. Elle pouvait avoir des douleurs fortes qui n’étaient pas insupportables. Elle réservait le médicament aux douleurs qui étaient insupportables. Dans une activité qui serait adaptée, par exemple en utilisant un clavier au lieu d'une souris, elle pourrait travailler si elle n'avait pas d'horaire pour pouvoir s'adapter à son état de santé. Elle n’avait pas d'idée sur le travail qu’elle pourrait faire.</w:t>
      </w:r>
    </w:p>
    <w:p>
      <w:r>
        <w:rPr>
          <w:b/>
        </w:rPr>
        <w:t>E. 7.7.3</w:t>
      </w:r>
    </w:p>
    <w:p>
      <w:r>
        <w:t>À teneur des déclarations de la recourante, l’analyse des indicateurs développés par le Tribunal fédéral ne permet pas de retenir que la fibromyalgie dont elle souffre est incapacitante. La plupart du temps, la recourante reste en effet capable de fonctionner dans sa vie quotidienne. Elle ne souffre pas d’une comorbidité psychique la privant de ressources, mais paraît au contraire en avoir, ce qui lui permet de gérer ses enfants et son travail, malgré les douleurs ressenties par moments. Elle bénéficie également de l’aide d’amis et du père de son second enfant. Les conclusions de l’expertise sur la capacité de travail de la recourante sont ainsi convaincantes.</w:t>
      </w:r>
    </w:p>
    <w:p>
      <w:r>
        <w:rPr>
          <w:b/>
        </w:rPr>
        <w:t>E. 7.8</w:t>
      </w:r>
    </w:p>
    <w:p>
      <w:r>
        <w:t>Au vu des considérations qui précèdent, le rapport du Dr B______ doit se voir reconnaître une pleine valeur probante.</w:t>
      </w:r>
    </w:p>
    <w:p>
      <w:r>
        <w:rPr>
          <w:b/>
        </w:rPr>
        <w:t>E. 8</w:t>
      </w:r>
    </w:p>
    <w:p>
      <w:r>
        <w:t>La décision querellée qui est fondée sur cette expertise doit en conséquence être confirmée et le recours rejeté. Un émolument de CHF 200.- sera mis à la charge de la recourante.</w:t>
      </w:r>
    </w:p>
    <w:p>
      <w:r>
        <w:t>A/464/2021 - 14/14 -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