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ATAS/284/2013 vom 19. März 2013</w:t>
      </w:r>
    </w:p>
    <w:p>
      <w:r>
        <w:t>GE Cour de justice, 2013-03-19, FR</w:t>
      </w:r>
    </w:p>
    <w:p>
      <w:r>
        <w:rPr>
          <w:b/>
        </w:rPr>
        <w:t xml:space="preserve">Quelle: </w:t>
      </w:r>
      <w:r>
        <w:t>https://mcp.opencaselaw.ch/entscheid/ge_gerichte_ATAS_284_2013</w:t>
      </w:r>
    </w:p>
    <w:p>
      <w:r>
        <w:t>FR: GE_GERICHTE ATAS/284/2013 du 19 mars 2013</w:t>
      </w:r>
    </w:p>
    <w:p>
      <w:r>
        <w:t>IT: GE_GERICHTE ATAS/284/2013 del 19 marzo 2013</w:t>
      </w:r>
    </w:p>
    <w:p>
      <w:pPr>
        <w:pStyle w:val="Heading2"/>
      </w:pPr>
      <w:r>
        <w:t>Erwägungen</w:t>
      </w:r>
    </w:p>
    <w:p>
      <w:r>
        <w:rPr>
          <w:b/>
        </w:rPr>
        <w:t>E. 6</w:t>
      </w:r>
    </w:p>
    <w:p>
      <w:r>
        <w:t>Le 5 novembre 2012, l'intéressé a formé opposition. Il conteste avoir tu le fait qu'il assumait des mandats d'administrateur. Il rappelle que ses mandats sont enregistrés et publiés au Registre du commerce, que ses revenus étaient "des plus accessoires", et qu'il en avait ouvertement parlé avec sa conseillère. Il souligne également qu'il a déjà été sanctionné sévèrement par une suspension de 45 jours.</w:t>
      </w:r>
    </w:p>
    <w:p>
      <w:r>
        <w:rPr>
          <w:b/>
        </w:rPr>
        <w:t>E. 7</w:t>
      </w:r>
    </w:p>
    <w:p>
      <w:r>
        <w:t>Par décision du 21 novembre 2012, le service juridique de l'OCE a rejeté son opposition, au motif qu' "il est manifeste que vous avez intentionnellement violé votre obligation de renseigner en n'informant pas la Caisse, en particulier par le biais de vos fiches IPA, de vos activités d'administrateur et de gérant pour le compte de plusieurs sociétés et de vos revenus y relatifs". Le service juridique de l'OCE relève par ailleurs que, contrairement à ce que soutient l'intéressé, sa conseillère en personnel n'a jamais confirmé ses déclarations selon lesquelles il l'aurait informée de ses diverses fonctions et inscriptions au Registre du commerce.</w:t>
      </w:r>
    </w:p>
    <w:p>
      <w:r>
        <w:rPr>
          <w:b/>
        </w:rPr>
        <w:t>E. 8</w:t>
      </w:r>
    </w:p>
    <w:p>
      <w:r>
        <w:t>L'intéressé a interjeté recours le 7 janvier 2013 contre ladite décision. Il reprend en substance les arguments déjà développés dans son opposition du 5 novembre 2012, et conclut à la remise de son obligation de rembourser la somme de 20'931 fr. 20.</w:t>
      </w:r>
    </w:p>
    <w:p>
      <w:r>
        <w:rPr>
          <w:b/>
        </w:rPr>
        <w:t>E. 9</w:t>
      </w:r>
    </w:p>
    <w:p>
      <w:r>
        <w:t>Dans sa réponse du 4 février 2013, le service juridique de l'OCE a proposé le rejet du recours.</w:t>
      </w:r>
    </w:p>
    <w:p>
      <w:r>
        <w:rPr>
          <w:b/>
        </w:rPr>
        <w:t>E. 10</w:t>
      </w:r>
    </w:p>
    <w:p>
      <w:r>
        <w:t>Ce courrier a été transmis à l'intéressé et la cause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Le recours a été interjeté en temps utile (art. 1 LACI, 38, 56 et 60 LPGA).. 3. Le litige porte sur la remise de l'obligation de rembourser la somme de 20'931 fr. 20, étant précisé que la décision de restitution est entrée en force. 4. A l'exception des cas relevant de l'art. 55 LACI (indemnité en cas d'insolvabilité), la demande de restitution en matière d'assurance-chômage est régie par l'art. 25 LPGA (art. 95 al. LACI). Selon l'art. 25 al. 1, première phrase, LPGA, les prestations indûment touchées doivent être restituées. L'assuré peut demander la</w:t>
      </w:r>
    </w:p>
    <w:p>
      <w:r>
        <w:t>A/26/2013 - 6/9 - remise de l'obligation de restituer, lorsque la restitution des prestations allouées indûment, mais reçues de bonne foi, le mettrait dans une situation difficile (cf. art. 25 al. 1, deuxième phrase, LPGA).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 chômage (ATF 126 V 48, consid. 1b, p. 50).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103 consid. 2c ; ATF 110 V 176 consid. 3c p. 180; ATF non publié du 23 janvier 2009, 8C_403/08, consid. 2.2). Il en résulte que la mauvaise foi ne peut être qu'antérieure ou contemporaine de la perception indue de prestations (ATF non publié du 17 avril 2008, 8C_766/2007, consid. 4.1 et les références citées). Il y a négligence grave quand un ayant droit ne se conforme pas à ce qui peut raisonnablement être exigé d’une personne capable de discernement dans une situation identique et dans les mêmes circonstances</w:t>
      </w:r>
    </w:p>
    <w:p>
      <w:r>
        <w:t>A/26/2013 - 7/9 -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5. Il y a enfin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6. L'assuré allègue qu'il n'a pas caché ses mandats d'administrateur ou de gérant puisque ceux-ci étaient dûment enregistrés au Registre du commerce. Le fait que la Caisse n'ait pas vérifié régulièrement les inscriptions est toutefois sans rapport avec la bonne foi du bénéficiaire de prestations indues, qui relève de l'analyse individuelle et concrète faite par la personne concernée, laquelle apprécie le bien-fondé du montant reçu et devrait réaliser, lors des versements litigieux, à l'instar de toute personne capable de discernement, que le montant n'est pas dû ou, à tout le moins, que la situation est hautement inhabituelle. L'assuré ne pouvait manquer de constater que les revenus qu'il réalisait grâce à ses mandats n'avaient</w:t>
      </w:r>
    </w:p>
    <w:p>
      <w:r>
        <w:t>A/26/2013 - 8/9 - pas été pris en considération par la Caisse, ce d'autant moins que ces revenus, atteignant un total de 31'405 fr. 35 en un peu plus d'une année, étaient en réalité relativement importants. Ce premier grief de l'assuré est donc sans pertinence. Il n'a par ailleurs pas été établi, contrairement à ce que soutient l'assuré, qu'il a effectivement informé sa conseillère en personnel de l'existence des mandats. Dans son arrêt du 16 août 2011 du reste, la Cour de céans laisse la question ouverte. L'assuré a au contraire systématiquement répondu par la négative aux questions qui lui étaient posées à cet égard dans les formulaires IPA de mars 2009 à juin 2010. Il ne saurait dès lors sérieusement soutenir avoir agi en toute transparence. La condition de la bonne foi ne peut ainsi être retenue. C'est dès lors à juste titre que la Caisse a rejeté sa demande de remise. Aussi le recours, mal fondé, est-il rejeté</w:t>
      </w:r>
    </w:p>
    <w:p>
      <w:r>
        <w:t>A/26/2013 - 9/9 -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