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ATAS/284/2010 vom 9. Juni 2009</w:t>
      </w:r>
    </w:p>
    <w:p>
      <w:r>
        <w:t>GE Cour de justice, 2009-06-09, FR</w:t>
      </w:r>
    </w:p>
    <w:p>
      <w:r>
        <w:rPr>
          <w:b/>
        </w:rPr>
        <w:t xml:space="preserve">Quelle: </w:t>
      </w:r>
      <w:r>
        <w:t>https://mcp.opencaselaw.ch/entscheid/ge_gerichte_ATAS_284_2010</w:t>
      </w:r>
    </w:p>
    <w:p>
      <w:r>
        <w:t>FR: GE_GERICHTE ATAS/284/2010 du 9 juin 2009</w:t>
      </w:r>
    </w:p>
    <w:p>
      <w:r>
        <w:t>IT: GE_GERICHTE ATAS/284/2010 del 9 giugno 2009</w:t>
      </w:r>
    </w:p>
    <w:p>
      <w:pPr>
        <w:pStyle w:val="Heading2"/>
      </w:pPr>
      <w:r>
        <w:t>Erwägungen</w:t>
      </w:r>
    </w:p>
    <w:p>
      <w:r>
        <w:rPr>
          <w:b/>
        </w:rPr>
        <w:t>E. 1</w:t>
      </w:r>
    </w:p>
    <w:p>
      <w:r>
        <w:t>Conformément à l'art. 56V al. 1 let. a ch. 8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RS 837.0). Sa compétence pour juger du cas d’espèce est ainsi établie.</w:t>
      </w:r>
    </w:p>
    <w:p>
      <w:r>
        <w:rPr>
          <w:b/>
        </w:rPr>
        <w:t>E. 2</w:t>
      </w:r>
    </w:p>
    <w:p>
      <w:r>
        <w:t>Interjeté en temps utile et transmis à la juridiction compétente, le recours est recevable (art. 56V al. 1 let. a ch. 8 LOJ et 60 LPGA).</w:t>
      </w:r>
    </w:p>
    <w:p>
      <w:r>
        <w:rPr>
          <w:b/>
        </w:rPr>
        <w:t>E. 3</w:t>
      </w:r>
    </w:p>
    <w:p>
      <w:r>
        <w:t>Le litige porte sur le bien-fondé et la durée de la sanction infligée au recourant pour avoir fait défaut à un entretien de conseil.</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Selon l’art. 30 al. 3 LACI, la durée de la suspension est proportionnelle à la gravité de la faute ; qu’ainsi, en cas de faute légère, la durée de la suspension est de un à</w:t>
      </w:r>
    </w:p>
    <w:p>
      <w:r>
        <w:t>A/3373/2009 - 5/6 - quinze jours (a), en cas de faute de gravité moyenne, de seize à trente jours (b) et en cas de faute grave, de trente-et-un à soixante jours (d)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w:t>
      </w:r>
    </w:p>
    <w:p>
      <w:r>
        <w:rPr>
          <w:b/>
        </w:rPr>
        <w:t>E. 7</w:t>
      </w:r>
    </w:p>
    <w:p>
      <w:r>
        <w:t>En l’espèce, force est de constater que le recourant a été dans l’incapacité d’étayer les dires selon lesquels il aurait été en rendez-vous avec son formateur au moment de l’entretien auquel il avait été convoqué. Au contraire, dûment interrogé, le centre de formation a indiqué que le dernier rendez-vous du recourant avec son « coach » remontait au 19 mai 2009. Or, si le recourant est dans l’impossibilité d’apporter les preuves commandées par la nature du litige et des faits invoqués, il doit supporter les conséquences de l'absence de preuves.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ces circonstances, force est de constater que c’est à juste titre que l’intimé a considéré que l’assuré avait fait défaut sans motif ni excuse valable et qu’une sanction a été prononcée, dont on relèvera qu’elle correspond au minimum prévu en un tel cas. Le recours est donc rejeté.</w:t>
      </w:r>
    </w:p>
    <w:p>
      <w:r>
        <w:t>A/3373/2009 - 6/6 -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