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ATAS/283/2020 vom 14. April 2020</w:t>
      </w:r>
    </w:p>
    <w:p>
      <w:r>
        <w:t>GE Cour de justice, 2020-04-14, FR</w:t>
      </w:r>
    </w:p>
    <w:p>
      <w:r>
        <w:rPr>
          <w:b/>
        </w:rPr>
        <w:t xml:space="preserve">Quelle: </w:t>
      </w:r>
      <w:r>
        <w:t>https://mcp.opencaselaw.ch/entscheid/ge_gerichte_ATAS_283_2020</w:t>
      </w:r>
    </w:p>
    <w:p>
      <w:r>
        <w:t>FR: GE_GERICHTE ATAS/283/2020 du 14 avril 2020</w:t>
      </w:r>
    </w:p>
    <w:p>
      <w:r>
        <w:t>IT: GE_GERICHTE ATAS/283/2020 del 14 aprile 2020</w:t>
      </w:r>
    </w:p>
    <w:p>
      <w:pPr>
        <w:pStyle w:val="Heading2"/>
      </w:pPr>
      <w:r>
        <w:t>Erwägungen</w:t>
      </w:r>
    </w:p>
    <w:p>
      <w:r>
        <w:rPr>
          <w:b/>
        </w:rPr>
        <w:t>E. 22</w:t>
      </w:r>
    </w:p>
    <w:p>
      <w:r>
        <w:t>novembre 2011). En tout état, l'aggravation significative et donc durable</w:t>
      </w:r>
    </w:p>
    <w:p>
      <w:r>
        <w:t>A/1520/2019 - 9/15 - d'une affection dégénérative préexistante de la colonne vertébrale par suite d'un accident n’est établie, selon la jurisprudence, que lorsque la radiographie met en évidence un tassement subit des vertèbres ou l'apparition ou l'agrandissement de lésions après un traumatisme (arrêt du Tribunal fédéral des assurances U 179/03 du 7 juillet 2004 consid. 4.4.2).  Si la hernie discale est seulement décompensée, mais pas provoquée par l'accident, l'assurance-accidents prend en charge le syndrome douloureux lié à l'événement accidentel (voir notamment RAMA 2000 n° U 378 p. 190 consid. 3 ; arrêt du Tribunal fédéral 8C_373/2013 du 11 mars 2014 consid. 3.3). Dans un tel cas, la preuve médicale de la causalité naturelle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 voir également arrêt du Tribunal fédéral des assurances U 60/02 du 18 septembre 2002).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w:t>
      </w:r>
    </w:p>
    <w:p>
      <w:r>
        <w:t>A/1520/2019 - 10/15 -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 arrêt du Tribunal fédéral 8C_588 /2015 du 17 décembre 2015 consid. 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w:t>
      </w:r>
    </w:p>
    <w:p>
      <w:r>
        <w:t>A/1520/2019 - 11/15 - sur la fiabilité et la validité des constatations du médecin de l'assurance (arrêt du Tribunal fédéral 8C_408/2014 et 8C_429/2014 du 23 mars 2015 consid. 4.2). 8. 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 d. Selon la jurisprudence (DTA 2001 p. 169), le juge cantonal qui estime que les faits ne sont pas suffisamment élucidés a en principe le choix entre deux solutions : soit renvoyer la cause à l’administration pour complément d’instruction, soit</w:t>
      </w:r>
    </w:p>
    <w:p>
      <w:r>
        <w:t>A/1520/2019 - 12/15 -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9. a. En l’espèce, se fondant sur les appréciations de son médecin d’arrondissement, l’intimée a mis un terme à ses prestations avec effet au 19 décembre 2017, au motif que les troubles ressentis par le recourant au-delà de cette date n’étaient pas en lien de causalité naturelle avec l’accident du 7 novembre 2017, l’accident n’étant notamment pas susceptible de causer la hernie discale ayant nécessité l’intervention du 20 décembre 2017. Pour sa part, le recourant est d’avis que la hernie discale en question a été causée par l’accident assuré, de sorte que l’intimée ne pouvait mettre un terme à ses prestations avec effet au 19 décembre 2017. b/aa. Il y a lieu de déterminer, tout d’abord, si l’accident du 7 novembre 2017 a provoqué la hernie discale comme le prétend le recourant. À titre liminaire, il convient de relever qu’on ne saurait suivre le recourant et le Dr F_______, lesquels retiennent l'existence d'un lien de causalité naturelle entre l'accident du 7 novembre 2017 et la hernie discale, au motif que le recourant était asymptomatique avant cet événement car cela revient à se fonder sur l'adage « post hoc ergo propter hoc », lequel ne permet pas, selon la jurisprudence, d'établir un tel lien (ATF 119 V 335 consid. 2b/bb ; arrêt du Tribunal fédéral 8C_485/2014 du 24 juin 2015 consid. 4.3). Cela étant précisé, force est de constater que, compte tenu de la jurisprudence en la matière, qui considère comme une règle tirée de l'expérience qu'une hernie discale n'est due à un accident que dans des conditions particulières et exceptionnelles (voir supra consid. 6b), on ne peut pas retenir que l’accident du 7 novembre 2017, soit un carambolage impliquant quatre véhicules, dont celui du recourant, revête une importance particulière. La vitesse des véhicules impliqués au moment des chocs ne ressort pas du dossier. On sait toutefois que le véhicule du recourant est le dernier à avoir été percuté. L’airbag ne s’est pas déclenché, ce qui a été confirmé en audience. En outre, les blessures subies ne revêtent pas une gravité particulière. Le</w:t>
      </w:r>
    </w:p>
    <w:p>
      <w:r>
        <w:t>A/1520/2019 - 13/15 - recourant n’a, en particulier, pas subi de lésion structurelle ou neurologique, dans les suites immédiates de l’accident, ce qui tend à démontrer que les forces qui se sont développées lors de la survenance du choc, certes non négligeables, n'étaient pas particulièrement importantes. Par conséquent, comparé aux événements relatés par la jurisprudence, propres à provoquer la survenance d'une hernie discale, tels qu'une chute libre d'une hauteur importante, un saut de 10 mètres de hauteur, une chute notamment avec port de charges, un télescopage à grande vitesse (voir l’arrêt du Tribunal fédéral des assurances U 307/05 du 8 janvier 2007 consid. 7.2 et les références), l’accident du 7 novembre 2017 a été relativement modéré. Les considérations qui précèdent rejoignent ainsi celles du Dr G_______ qui a également qualifié l’accident de mécanisme à basse énergie, rappelant que la voiture était à l’arrêt, que les dégâts étaient minimes sur la carrosserie selon les clichés de la police et que l’airbag n’était pas sorti. Cela étant et en tout état, force est également de constater que les premières radiographies après l'accident n’étaient pas sans image d'altération dégénérative au niveau du segment concerné, dès lors qu’elles ont montré une arthrose hypertrophiante et une discopathie au niveau du segment L4-L5. Par conséquent, dans la mesure où à tout le moins deux des conditions prévues par la jurisprudence ne sont pas réalisées, il doit être considéré, conformément à la jurisprudence en la matière, que l’accident du 7 novembre 2017 n’a pas pu causer la hernie discale dont souffre le recourant. Cela étant, cela ne signifie pas encore que l’intimée était en droit de mettre un terme à ses prestations avec effet au 19 décembre 2017 comme elle l’a fait par décision 18 juin 2018, confirmée sur opposition le 13 mars 2019. En effet, si l’accident en question a aggravé ou décompensé provisoirement un état dégénératif antérieur, l’assurance-accidents est tenue de prester jusqu’au retour à un statu quo sine vel ante. b/bb. Dans le cas présent, l’imagerie pratiquée a montré que le recourant présentait un état dégénératif préexistant au niveau du segment concerné avec une arthrose hypertrophiante et une discopathie L4-L5. Il ressort toutefois des pièces du dossier que l’intimée s’est limitée à examiner la causalité directe entre l’accident et la hernie discale dont souffre le recourant et qu’elle n’a pas investigué la question d’une décompensation alors même que le Dr F_______ a évoqué une telle possibilité. La SUVA n’a pas non plus examiné la question de l’aggravation d’un état dégénératif préexistant. Or, si l’accident est une cause indirecte de la symptomatologie (décompensation ou aggravation), l’intimée doit prester jusqu’au retour à un statu quo. Les principes ne sont toutefois pas identiques dans les deux cas : en cas de décompensation d’un état dégénératif antérieur, la présomption jurisprudentielle s’applique et l’on doit considérer que le statu quo est atteint après six à neuf mois, au plus tard un an après l’accident. En revanche, en cas d'aggravation significative et donc durable d'une affection dégénérative préexistante de la colonne vertébrale (laquelle est établie, selon la</w:t>
      </w:r>
    </w:p>
    <w:p>
      <w:r>
        <w:t>A/1520/2019 - 14/15 - jurisprudence, lorsque la radiographie met en évidence un tassement subit des vertèbres ou l'apparition ou l'agrandissement de lésions après un traumatisme), l’assureur-accidents doit prendre en charge le traitement - et, partant, les éventuelles interventions chirurgicales - jusqu’à ce que le statu quo sine vel ante soit atteint, aucune présomption jurisprudentielle n’intervenant dans un tel cas. Il en découle que la chambre de céans n’est pas en mesure d’examiner la validité de la décision sur opposition querellée faute d’instruction médicale sur l’état antérieur du recourant. En pareilles circonstances, il n’appartient pas au juge de suppléer aux carences administratives, de sorte que le dossier sera renvoyé à l’intimée pour instruction complémentaire – éventuellement sous forme d’expertise - sur la question d’une aggravation traumatique ou d’une décompensation d’un état dégénératif préexistant et sur la date du retour à un statu quo sine. Vu le renvoi de la cause à l’intimée pour instruction complémentaire, il n’est pas nécessaire d’entendre les médecins du recourant ni d’ordonner une expertise orthopédique ou biomécanique. 10. Au vu de ce qui précède, le recours est partiellement admis et la décision sur opposition du 13 mars 2019 annulée. La cause est renvoyée à l’intimée pour instruction complémentaire au sens des considérants. Le recourant obtenant partiellement gain de cause, une indemnité de CHF 2'000.- lui sera accordée à titre de participation à ses frais et dépens (art. 61 let. g LPGA ; art. 6 du règlement sur les frais, émoluments et indemnités en matière administrative du 30 juillet 1986 [RFPA - E 5 10.03]). Pour le surplus, la procédure est gratuite (art. 61 let. a LPGA).</w:t>
      </w:r>
    </w:p>
    <w:p>
      <w:r>
        <w:t>A/1520/2019 - 15/15 -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