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ATAS/283/2018 vom 3. April 2018</w:t>
      </w:r>
    </w:p>
    <w:p>
      <w:r>
        <w:t>GE Cour de justice, 2018-04-03, FR</w:t>
      </w:r>
    </w:p>
    <w:p>
      <w:r>
        <w:rPr>
          <w:b/>
        </w:rPr>
        <w:t xml:space="preserve">Quelle: </w:t>
      </w:r>
      <w:r>
        <w:t>https://mcp.opencaselaw.ch/entscheid/ge_gerichte_ATAS_283_2018</w:t>
      </w:r>
    </w:p>
    <w:p>
      <w:r>
        <w:t>FR: GE_GERICHTE ATAS/283/2018 du 3 avril 2018</w:t>
      </w:r>
    </w:p>
    <w:p>
      <w:r>
        <w:t>IT: GE_GERICHTE ATAS/283/2018 del 3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de la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A/3363/2016 - 11/18 -</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Interjeté dans la forme et le délai prévus par la loi, le recours est recevable (art. 56ss LPGA).</w:t>
      </w:r>
    </w:p>
    <w:p>
      <w:r>
        <w:rPr>
          <w:b/>
        </w:rPr>
        <w:t>E. 5</w:t>
      </w:r>
    </w:p>
    <w:p>
      <w:r>
        <w:t>Le litige porte sur la question de savoir si les troubles à la cheville et au genou droits présentés par la recourante postérieurement au 3 mars 2016 sont en lien de causalité avec l'accident survenu le 2 juillet 2015.</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seul fait que des symptômes douloureux ne se sont manifestés qu'après la survenance d'un accident ne suffit pas à établir un rapport de causalité naturelle avec cet accident. Il convient en principe d'en rechercher l'étiologie et de vérifier,</w:t>
      </w:r>
    </w:p>
    <w:p>
      <w:r>
        <w:t>A/3363/2016 - 12/18 - sur cette base, l'existence du rapport de causalité avec l'événement assuré (raisonnement «post hoc, ergo propter hoc»; ATF 119 V 335 consid. 2b/bb; RAMA 1999 n° U 341 p. 408, consid. 3b).</w:t>
      </w:r>
    </w:p>
    <w:p>
      <w:r>
        <w:rPr>
          <w:b/>
        </w:rPr>
        <w:t>E. 7</w:t>
      </w:r>
    </w:p>
    <w:p>
      <w:r>
        <w:t>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les déboîtements d'articulations, les déchirures du ménisque, les déchirures et les élongations de muscles, les déchirures de tendons, les lésions des ligaments et des tympans.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ATF 116 V 145 consid. 6c; ATF 114 V 301 consid. 3c).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c. Ces règles sont également applicables lorsqu'une des lésions mentionnées à l'art. 9 al. 2 OLAA est survenue lors d'un événement répondant à la définition de l'accident au sens de l'art. 6 al. 1 LAA (arrêts du Tribunal fédéral 8C_347/2013 du 18 février 2013 consid. 3.2; 8C_698/2007 du 27 octobre 2008 consid. 4.2; 8C_357/2007 du 31 janvier 2008 consid. 3.2).</w:t>
      </w:r>
    </w:p>
    <w:p>
      <w:r>
        <w:rPr>
          <w:b/>
        </w:rPr>
        <w:t>E. 8</w:t>
      </w:r>
    </w:p>
    <w:p>
      <w:r>
        <w:t>a. La plupart des éventualités assurées (par exemple la maladie, l'accident, l'incapacité de travail, l'invalidité, l'atteinte à l'intégrité physique ou mentale)</w:t>
      </w:r>
    </w:p>
    <w:p>
      <w:r>
        <w:t>A/3363/2016 - 13/18 -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w:t>
      </w:r>
    </w:p>
    <w:p>
      <w:r>
        <w:t>A/3363/2016 - 14/18 -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w:t>
      </w:r>
    </w:p>
    <w:p>
      <w:r>
        <w:rPr>
          <w:b/>
        </w:rPr>
        <w:t>E. 9</w:t>
      </w:r>
    </w:p>
    <w:p>
      <w:r>
        <w:t>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30 novembre 2004 consid. 1.3).</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w:t>
      </w:r>
    </w:p>
    <w:p>
      <w:r>
        <w:t>A/3363/2016 - 15/18 -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l'occurrence, dans sa décision litigieuse, l'intimée, en se fondant sur les conclusions du Dr H______, a retenu que les troubles à la cheville et au genou droits de la recourante ne sont plus en lien de causalité, à compter du 4 mars 2016, avec l'accident survenu le 2 juillet 2015. A la lecture des rapports établis par le Dr H______, la chambre de céans est toutefois d'avis que l'appréciation de ce médecin-conseil n'emporte pas la conviction, et ce pour les motifs qui suivent. Il n’est pas contesté par les parties que suite à l’accident survenu le 2 juillet 2015, la recourante a subi, au mollet droit, une déchirure musculaire, à la cheville droite, une entorse du ligament talo-fibulaire antérieur (LFTA) ou entorse du ligament latéral externe (LLE), ainsi qu'au genou droit, une entorse du ligament latéral interne (LLI) et une déchirure méniscale (rapports d'examens complémentaires des 7, 31 juillet et 6 novembre 2015, rapport du 26 novembre 2016 du Dr E______ et formulaire signé par le Dr H______ le 13 janvier 2016).</w:t>
      </w:r>
    </w:p>
    <w:p>
      <w:r>
        <w:t>A/3363/2016 - 16/18 - S’agissant de l'atteinte à la cheville droite, pour justifier la fin du rapport de causalité avec l'accident assuré, le Dr H______ a indiqué que généralement l'entorse se guérissait en six semaines (rapport du 12 mai 2016). Dans son rapport du 2 septembre 2016, il a écarté le diagnostic d’instabilité à la cheville au motif que tous les examens réalisés montraient une distorsion sans gravité. Dans son rapport du 31 janvier 2017, il a expliqué qu'aucune lésion traumatique n'avait été objectivée. Enfin, dans son rapport du 20 juin 2017, il a expliqué qu’aucune rupture du LLE n’avait été diagnostiquée. A la lecture de l'ensemble de ces rapports, force est de constater que le Dr H______ a rendu ses conclusions en passant totalement sous silence l’échographie du 9 mai 2016, alors que celle-ci constate pourtant une rupture en plein corps du LFTA (rapport du 9 mai 2016 de la Dresse Q______). Cette omission est d’autant plus surprenante que la Dresse M______ avait pourtant attiré l'attention du médecin- conseil, par courrier du 19 mai 2016 déjà, sur le fait que l’IRM du 18 janvier 2016 objectivait clairement une lésion complète du ligament péronéoastragalien antérieur. S’agissant des atteintes au genou droit, il n'est pas contesté que lors de l'arthroscopie effectuée le 5 février 2016, une chondropathie fissuraire stade III sur un cm du plateau tibial latéral a été relevée (rapport du 5 février 2016 du Dr G______). Par la suite, une fissure de la corne antérieure du ménisque externe a été constatée par IRM (rapport du 6 juin 2016 de la Dresse P______). Le Dr H______ a écarté le lien de causalité entre ces atteintes et l'accident assuré au motif que les examens complémentaires effectués antérieurement au 5 février et au 6 juin 2016 n'avaient pas mis en évidence ces lésions (courrier du 12 mai 2016, rapports des 2 septembre 2016 et 20 juin 2017). Or, s'agissant en particulier de la fissure au ménisque externe, la chambre de céans constate pourtant que l'IRM effectuée le 6 novembre 2015 faisait déjà état de l'existence de cette atteinte (rapport du Dr C______). Ainsi, les explications du Dr H______ paraissent insuffisamment motivées, de sorte qu'elles ne convainquent pas. Pour l’ensemble de ces motifs, la chambre de céans ne saurait accorder valeur probante aux conclusions du Dr H______. Par ailleurs, on ne saurait non plus statuer sur le présent litige en se fondant uniquement sur les appréciations des Dresses M______, O______ et du Dr R______, lesquels retiennent, postérieurement au 3 mars 2016, un lien de causalité naturelle entre les atteintes dont souffre la recourante et l'accident du 2 juillet 2015. Enfin, contrairement à ce qu'avance l'intimée, le fait que la recourante ait été reconnue, par l'OAIE, comme étant capable de travailler à plein temps dans une activité adaptée (décision du 7 avril 2017), n'est pas pertinent pour trancher la question litigieuse du lien de causalité naturelle entre les atteintes qu'elle présente et l'accident assuré.</w:t>
      </w:r>
    </w:p>
    <w:p>
      <w:r>
        <w:t>A/3363/2016 - 17/18 -</w:t>
      </w:r>
    </w:p>
    <w:p>
      <w:r>
        <w:rPr>
          <w:b/>
        </w:rPr>
        <w:t>E. 13</w:t>
      </w:r>
    </w:p>
    <w:p>
      <w:r>
        <w:t>Compte tenu de l'ensemble de ces motifs, force est de constater que la chambre de céans ne dispose pas des éléments médicaux nécessaires et probants pour statuer, au degré de la vraisemblance prépondérante, sur la question litigieuse du lien de causalité naturelle entre l’accident assuré et les atteintes existant postérieurement au 3 mars 2016. Il convient dès lors de renvoyer la cause à l'intimée afin qu'elle ordonne un complément d'instruction sous la forme d'une expertise médicale indépendante, au sens de l'art. 44 LPGA, puis rende une nouvelle décision. On rappellera que si une atteinte - correspondant à une lésion corporelle assimilée à un accident au sens de l'art. 9 al. 2 OLAA - est éventuellement constatée, il y aura lieu d'appliquer les principes propres auxdites lésions.</w:t>
      </w:r>
    </w:p>
    <w:p>
      <w:r>
        <w:rPr>
          <w:b/>
        </w:rPr>
        <w:t>E. 14</w:t>
      </w:r>
    </w:p>
    <w:p>
      <w:r>
        <w:t>Le recours sera donc admis partiellement et la décision du 23 septembre 2016 sera annulée. La cause sera renvoyée à l'intimée pour instruction complémentaire au sens des considérants et nouvelle décision.</w:t>
      </w:r>
    </w:p>
    <w:p>
      <w:r>
        <w:rPr>
          <w:b/>
        </w:rPr>
        <w:t>E. 15</w:t>
      </w:r>
    </w:p>
    <w:p>
      <w:r>
        <w:t>La recourante, représentée par un conseil et obtenant gain de cause, une indemnité de CHF 3'000.- lui sera accordée à titre de participation à ses frais et dépens (art. 61 let. g LPGA ; art. 89 H de la loi sur la procédure administrative du 12 septembre 1985 [LPA – E 5 10] ; art. 6 du règlement sur les frais, émoluments et indemnités en matière administrative du 30 juillet 1986 [RFPA - E 5 10.03]).</w:t>
      </w:r>
    </w:p>
    <w:p>
      <w:r>
        <w:rPr>
          <w:b/>
        </w:rPr>
        <w:t>E. 16</w:t>
      </w:r>
    </w:p>
    <w:p>
      <w:r>
        <w:t>Pour le surplus, la procédure est gratuite (art. 61 let. a LPGA).</w:t>
      </w:r>
    </w:p>
    <w:p>
      <w:r>
        <w:t>A/3363/2016 - 18/18 -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