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ATAS/282/2026 vom 30. März 2026</w:t>
      </w:r>
    </w:p>
    <w:p>
      <w:r>
        <w:t>GE Cour de justice, 2026-03-30, FR</w:t>
      </w:r>
    </w:p>
    <w:p>
      <w:r>
        <w:rPr>
          <w:b/>
        </w:rPr>
        <w:t xml:space="preserve">Quelle: </w:t>
      </w:r>
      <w:r>
        <w:t>https://mcp.opencaselaw.ch/entscheid/ge_gerichte_ATAS_282_2026</w:t>
      </w:r>
    </w:p>
    <w:p>
      <w:r>
        <w:t>FR: GE_GERICHTE ATAS/282/2026 du 30 mars 2026</w:t>
      </w:r>
    </w:p>
    <w:p>
      <w:r>
        <w:t>IT: GE_GERICHTE ATAS/282/2026 del 30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du recourant aux prestations de l’intimée au-delà du 21 mai 2024, singulièrement sur son droit à la prise en charge du traitement médical, dont une éventuelle intervention chirurgicale future et sur la date de la stabilisation de l’état de santé.</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w:t>
      </w:r>
    </w:p>
    <w:p>
      <w:r>
        <w:t>A/4213/2024 - 7/20 -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w:t>
      </w:r>
    </w:p>
    <w:p>
      <w:r>
        <w:t>A/4213/2024 - 8/20 -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3.3.1</w:t>
      </w:r>
    </w:p>
    <w:p>
      <w:r>
        <w:t>Selon l’art. 10 al. 1 LAA, l’assuré a droit au traitement médical approprié des lésions résultant de l’accident, à savoir : au traitement ambulatoire dispensé par le médecin, le dentiste ou, sur leur prescription, par le personnel paramédical ainsi que, par la suite, par le chiropraticien (al. 1 let. a) ; aux médicaments et analyses ordonnés par le médecin ou le dentiste (al. 1 let. b) ; au traitement, à la nourriture et au logement dans la division commune d’un hôpital (al. 1 let. c) ; aux cures complémentaires et aux cures de bain prescrites par le médecin (al. 1 let. d) ; aux moyens et appareils servant à la guérison (al. 1 let. e).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3.3.2</w:t>
      </w:r>
    </w:p>
    <w:p>
      <w:r>
        <w:t>Selon David IONTA (Stabilisation de l’état de santé in HAVE/REAS 4/2023, p. 314), compte tenu du fait que l'assurance-accidents sociale est, de par sa conception, axée sur les personnes exerçant une activité lucrative, la notion de « sensible amélioration de l'état de l'assuré » doit être interprétée comme se référant notamment - mais pas exclusivement - à l'amélioration ou la récupération probable de la capacité de travail réduite par l'accident (ATF 134 V 109 consid. 4.3 ; arrêt du Tribunal fédéral 8C_736/2017 du 20 août 2018 consid 4.1). À ce propos, l'ATF 134 V 109 consid. 4.3 n'exige pas une évaluation basée exclusivement en fonction de la capacité de travail - ce qui serait d'ailleurs difficilement conciliable avec le libellé de l'art. 19 al. 1 LAA (arrêt du Tribunal fédéral 8C_614/2019 du 29 janvier 2020 consid. 5.3 et la référence), en particulier lorsque la personne assurée a repris son activité professionnelle habituelle (cf. par ex. arrêts du Tribunal fédéral 8C_354/2014 du 10 juillet 2014 consid. 3.2,</w:t>
      </w:r>
    </w:p>
    <w:p>
      <w:r>
        <w:t>A/4213/2024 - 9/20 - concernant un avocat ayant repris son activité professionnelle, ou 8C_614/2019 du 29 janvier 2020 consid. 5.3). En pareille situation, il y a lieu d'examiner si un traitement médical est indiqué et si l'on peut s'attendre à une amélioration sensible de l'état de santé. Lorsque la capacité de travail est totale sans interruption depuis l'accident (cas « bagatelle »), mais qu'un traitement médical est néanmoins nécessaire, l'amélioration sensible de l'état de santé requise pour le droit au traitement médical au sens de l'art. 10 LAA ne peut pas être déterminée en fonction de l'augmentation attendue de la capacité de travail. À cet égard, la capacité de travail non limitée en dépit de l'accident ne saurait à elle seule justifier la perte du droit au traitement médical (arrêt du Tribunal fédéral 8C_208/2021 du 22 novembre 2021 consid 5.1 et les références ; Philipp GEERTSEN, UVG Kommentar, art. 19 LAA n. 8, in Marc HURZELER / Ueli KIESER (éd.) Kommentar zum schweizerischen Sozialversicherungenrecht, Berne 2018). Cela étant, lorsque la personne assurée a une capacité de travail limitée dans son activité habituelle mais dispose d'une pleine capacité de travail dans une activité adaptée aux limitations fonctionnelles retenues, le cas doit en règle générale être clos, même si la poursuite du traitement médical permet de prévenir une éventuelle péjoration (arrêt du Tribunal fédéral 8C_14/2010 du 4 août 2010 consid 3). L'utilisation du terme « sensible » par le législateur montre que l'amélioration que doit amener la poursuite du traitement médical doit être significative. Des améliorations mineures ne suffisent pas, pas plus que la simple possibilité d'une telle amélioration (arrêts du Tribunal fédéral 8C_604/2021 du 25 janvier 2022 consid. 5.2 ; 8C_484/2019 du 3 août 2020 consid. 3 ; 8C_493/2018 du 12 septembre 2018 consid. 4.3.3 ; 8C_14/2010 du 4 août 2010 consid. 2.2 ; 8C_211/2009 du 10 juillet 2009 consid. 4 et les références) ou qu'une amélioration sensible ne puisse être envisagée que dans un avenir incertain (arrêt du Tribunal fédéral U 305/03 du 31 août 2004 consid. 4.1 et le références). Ni la possibilité lointaine d'un résultat positif de la poursuite d'un traitement médical ni un progrès thérapeutique mineur à attendre de nouvelles mesures - comme une cure thermale - ne donnent droit à sa mise en œuvre (arrêt du Tribunal fédéral 8C_95/2021 du 27 mai 2021 consid. 3.2 et la référence). De simples mesures d'évaluation ou d'observation ne justifient pas de repousser la clôture du cas et l'examen du droit à la rente d'invalidité (GEERTSEN (n. 20), UVG Kommentar art. 19 LAA). Cette question doit être examinée de manière prospective (arrêts du Tribunal fédéral 8C_20/2022 du 10 juin 2022 consid. 6.2 et les références ; 8C_210/2018 du 17 juillet 2018 consid. 3.2.3.1 et les références ; BSK UVG-FLÜKIGER (n. 10) art. 19 LAA n. 8) et non sur la base de constatations rétrospectives (arrêts du Tribunal fédéral 8C_682/2021 du 13 avril 2022 consid. 5.1 ; 8C_142/2017 du</w:t>
      </w:r>
    </w:p>
    <w:p>
      <w:r>
        <w:rPr>
          <w:b/>
        </w:rPr>
        <w:t>E. 3.4.1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w:t>
      </w:r>
    </w:p>
    <w:p>
      <w:r>
        <w:t>A/4213/2024 - 11/20 -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w:t>
      </w:r>
    </w:p>
    <w:p>
      <w:r>
        <w:rPr>
          <w:b/>
        </w:rPr>
        <w:t>E. 3.4.2</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3.5.1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A/4213/2024 - 12/20 -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w:t>
      </w:r>
    </w:p>
    <w:p>
      <w:r>
        <w:t>A/4213/2024 - 13/20 -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A/4213/2024 - 14/20 -</w:t>
      </w:r>
    </w:p>
    <w:p>
      <w:r>
        <w:rPr>
          <w:b/>
        </w:rPr>
        <w:t>E. 3.6.1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3.6.3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3.7</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t>A/4213/2024 - 15/20 -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4. En l’occurrence, la chambre de céans a estimé qu’une expertise judiciaire orthopédique était nécessaire, au vu des avis contradictoires des Drs E______ et D______. 4.1 Fondé sur toutes les pièces du dossier, comprenant une anamnèse, la description d’une journée-type et des plaintes du recourant, un examen clinique de celui-ci, la réalisation de radiographies et IRM du genou gauche, posant des diagnostics clairs avec une évaluation convaincante du lien de causalité de ceux-ci avec l’accident, le rapport du Prof. F______ du 10 juillet 2025, comprenant le complément du 20 octobre 2025, répond aux réquisits jurisprudentiels précités pour qu’il lui soit reconnu une pleine valeur probante, sous réserve de la date de stabilisation de l’état de santé du recourant, comme il sera développé ci-après. L’expert judiciaire conclut à une lésion complexe (déchirure) de la corne méniscale postérieure du ménisque interne ou une aggravation par déstabilisation d’une lésion complexe de la corne méniscale postérieure du ménisque interne gauche (possiblement préexistante) en lien, au degré de la vraisemblance prépondérante, avec l’accident. Les examens cliniques et radiologiques n’avaient pas mis en évidence de signe d’entorse du genou, qui était une lésion ligamentaire, ni de contusion osseuse. Seule la lésion méniscale de la corne postérieure du ménisque interne gauche,</w:t>
      </w:r>
    </w:p>
    <w:p>
      <w:r>
        <w:t>A/4213/2024 - 16/20 - décrite par la radiographie du 19 mars 2024, expliquait l’épanchement important et les douleurs ressenties sur l’interligne interne du genou gauche. Contrairement à l’avis du Dr E______, le Prof. F______ estime que ni l’âge du recourant, ni la fissuration d’aspect complexe, ni encore la présence de kystes, ne permettent de conclure de façon prépondérante à une lésion d’usure chronique. En particulier, le recourant, âgé de 52 ans, n’entrait pas dans les statistiques citées qui concernaient des hommes de 70 à 90 ans présentant, dans plus de 50% des cas, des lésions méniscales dégénératives. Le recourant présentait, avant l’accident, des éléments arthrosiques (vu à l’IRM du 10 juin 2025) et un état maladif dégénératif asymptomatique, à la suite de l’intervention sur son genou gauche en 2014. La thèse du Dr E______, selon laquelle l’accident avait démasqué ou rendu symptomatique une lésion qui le serait devenue de toute manière était contestée, au vu de la description de l’accident (le recourant avait glissé et s’était cogné le genou gauche, qui s’était brusquement fléchi lors du choc et avait enflé). La brusque flexion du genou écrasait la corne postérieure du ménisque interne et provoquait la déchirure. L’accident avait aggravé la lésion dégénérative, causant un état douloureux et inflammatoire du genou, lequel, avant l’accident, fonctionnait à satisfaction. Les kystes paraméniscaux présents à l’IRM du 19 mars 2024 avaient quasiment disparus à l’IRM du 10 juin 2025, de sorte que l’hypothèse la plus probable était que l’épanchement survenu lors de l’accident les avait causés et qu’ils avaient disparus une fois la phase inflammatoire initiale post-traumatique résorbée. L’intervention de méniscectomie partielle interne de 2014 était une régularisation par arthroscopie chez un assuré de 42 ans resté asymptomatique jusqu’à l’accident du 23 février 2024. La simple exacerbation traumatique était une hypothèse séduisante mais qui ne reposait sur aucun substrat anatomique, alors qu’il existait bel et bien une atteinte du ménisque interne, accompagnée d’épanchement et de douleurs, comme attesté par les Drs C______ et D______. Finalement, le Prof. F______ conclut comme suit : « la chute avec flexion brutale du genou écrasant le ménisque interne gauche a eu lieu avec épanchement et douleur attestés par le médecin traitant, le Dr C______, qui a ordonné un arrêt de travail ; que le ménisque en question présente préalablement des lésions dégénératives n’est pas nié, mais l’accident ne les a pas « démasquées », il les a indéniablement aggravées voire, dans une certaine mesure, provoquées ; par ailleurs, le médecin de la SUVA admet que ces « lésions » étaient préalablement silencieuses et donc asymptomatiques ». Les limitations fonctionnelles étaient les suivantes : port de charges répétitif de plus de 5 kg, position assise prolongée de plus de 2 heures, position debout prolongée de plus de 20 minutes, position accroupie ou à genoux et monter/descendre des escaliers, échelles et escabeaux.</w:t>
      </w:r>
    </w:p>
    <w:p>
      <w:r>
        <w:t>A/4213/2024 - 17/20 - La capacité de travail était de 50% depuis l’accident dans l’activité habituelle (véhicule à changement de vitesse manuelle) et de 100% dans une activité de chauffeur, avec conduite automatique. Un traitement par antalgiques et antiinflammatoires était nécessaire et si les symptômes s’aggravaient, une intervention chirurgicale pourrait entrer en ligne de compte. Il n’existait, en l’état, pas d’atteinte à l’intégrité définitive. Le cas pouvait raisonnablement être considéré comme stabilisé le 23 février 2025, soit une année après l’accident. Un traitement symptomatique et conservateur (antiinflammatoires et antalgiques) était nécessaire jusque-là et à long terme. 4.2 Les critiques de l’intimée à l’égard de l’expertise judiciaire, émises par le biais du Dr E______, ne sont pas à même de mettre en doute la valeur probante du rapport d’expertise du Prof. F______. Celui-ci a répondu aux critiques du Dr E______ du 11 août 2025 de façon convaincante dans son complément d’expertise du 20 octobre 2025. Quant à l’avis spontané du 13 janvier 2026 du Dr E______, il n’apporte pas de critique nouvelle par rapport à l’avis précédent, le Dr E______ rappelant que l’antécédant de méniscectomie partielle de 2014 constitue, de son point de vue, un facteur prédisposant majeur à l’évolution dégénérative ultérieure du compartiment interne et estime que l’expert F______ n’a pas démontré l’existence d’une lésion structurelle nouvelle imputable à l’accident. Or, contrairement à l’avis du Dr E______, l’expert F______ a expliqué de façon convaincante que le mécanisme accidentel, soit un choc du genou suivi d’un fléchissement brusque, a écrasé la corne postérieure du ménisque interne et provoqué une déchirure, tout en aggravant une situation préexistante (complément d’expertise du 20 octobre 2025), de sorte qu’une lésion structurelle nouvelle peut être admise, ce d’autant que l’expert F______ a expliqué de manière persuasive que l’état préexistant n’était pas aussi important que celui décrit par le Dr E______ dès lors qu’il s’agissait d’une régularisation par arthroscopie, effectué en 2014, chez un patient de 42 ans, lequel était restée asymptomatique pendant dix ans, soit jusqu’à l’accident de 2024. Au demeurant, les conclusions du Prof. F______ quant au lien de causalité entre les atteintes constatées et l’accident seront suivies et l’hypothèse de l’intimée d’une déstabilisation seulement temporaire d’un état préexistant, au plus tard dix semaines après l’accident, rejetée. 4.3 Il convient encore de déterminer le moment de la stabilisation de l’état de santé. À cet égard, l’expert F______ estime que l’état de santé est stabilisé douze mois après l’accident, le 23 février 2025, un traitement asymptomatique et conservateur étant nécessaire jusque-là et probablement au-delà, vu l’état du genou (complément d’expertise du 20 octobre 2025, p. 2).</w:t>
      </w:r>
    </w:p>
    <w:p>
      <w:r>
        <w:t>A/4213/2024 - 18/20 - Quant à l’intimée, elle s’est ralliée à l’avis du Dr E______ du 13 janvier 2026, selon lequel, si l’on admettait une aggravation déterminante liée à l’accident, l’état pourrait être considéré comme stabilisé au 1er mai 2024, soit dès la reprise complète de l’activité professionnelle, compte tenu aussi de l’absence de traitement thérapeutique spécifique. Au vu de la jurisprudence précitée, la stabilisation de l’état de santé n’est pas donnée tant que l’on peut attendre d’un traitement une sensible amélioration de l’état de santé (consid. 3.3 supra). L’amélioration que doit amener une poursuite du traitement médical doit être significative et la prise d’antalgiques et d’antiinflammatoires, comme c’est le cas pour le recourant, ne suffit pas à répondre à cette condition. Compte tenu de la capacité de travail entièrement recouvrée au 1er mai 2024 et du traitement antiinflammatoire et antidouleurs évoqué, voire physiothérapeutique (procès-verbal de comparution personnelle des parties du 15 décembre 2025), la date de la stabilisation de l’état de santé arrêtée par l’expert F______ au 23 février 2025 ne peut pas être suivie. Dans le sens de l’intimée, il y a lieu de retenir une stabilisation de l’état de santé au 1er mai 2024. Au surplus, l’éventuelle intervention chirurgicale évoquée par l’expert F______, dans l’hypothèse où les symptômes et signes devaient s’aggraver (rapport d’expertise, p. 21), ne permet pas non plus de considérer qu’il existe, en l’état, un traitement médical apportant une amélioration sensible de l’état de santé. Cela dit, au vu de la reconnaissance du lien de causalité entre l’accident et les affections du recourant, celui-ci, en cas d’intervention chirurgicale future, pourra faire valoir auprès de l’intimée la survenance d’une rechute ou de séquelles tardives. Partant, le droit aux prestations provisoires, singulièrement à la prise en charge du traitement médical, cesse, à tout le moins, au 21 mai 2024, date à laquelle l’intimée a mis fin à ses prestations. 4.4 Par appréciation anticipée des preuves, il sera renoncé à requérir, comme le demande l’intimée, des renseignements complémentaires sur les activités professionnelles du recourant, la capacité de travail totale de celui-ci étant admise par les parties au 1er mai 2024. Il sera également renoncé à l’audition de l’expert F______, requise par le recourant. Au demeurant, le lien de causalité entre l’accident et l’affection au genou gauche du recourant est reconnu, l’état de santé étant considéré comme stabilité au 1er mai 2024. S’agissant des frais d’expertise judiciaire, dès lors qu’il existait des doutes sur l’appréciation du médecin-conseil de l’intimée, une expertise médicale était</w:t>
      </w:r>
    </w:p>
    <w:p>
      <w:r>
        <w:t>A/4213/2024 - 19/20 - nécessaire, de sorte qu’en application de la jurisprudence précitée, les frais de l’expertise judiciaire seront mis à la charge de l’intimée. 5. Le recours sera partiellement admis et la décision litigieuse réformée dans le sens que le lien de causalité entre l’accident et les affections est reconnu et que l’état de santé du recourant est stabilisé au 1er mai 2024. Au vu de ce qui précède, le recourant obtenant partiellement gain de cause, une indemnité de CHF 2'500.-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A/4213/2024 - 20/20 - PAR CES MOTIFS, LA CHAMBRE DES ASSURANCES SOCIALES : Statuant À la forme :</w:t>
      </w:r>
    </w:p>
    <w:p>
      <w:r>
        <w:rPr>
          <w:b/>
        </w:rPr>
        <w:t>E. 7</w:t>
      </w:r>
    </w:p>
    <w:p>
      <w:r>
        <w:t>septembre 2017 consid. 4 et les références ; GEERTSEN (n. 20) UVG Kommentar art. 19 LAA n 9.). Ainsi, des rapports médicaux établis</w:t>
      </w:r>
    </w:p>
    <w:p>
      <w:r>
        <w:t>A/4213/2024 - 10/20 - postérieurement à l'examen de la stabilisation de l'état de santé ne sont pas pertinents (arrêts du Tribunal fédéral 8C_528/2022 du 17 novembre 2022 consid.</w:t>
      </w:r>
    </w:p>
    <w:p>
      <w:r>
        <w:rPr>
          <w:b/>
        </w:rPr>
        <w:t>E. 7.4</w:t>
      </w:r>
    </w:p>
    <w:p>
      <w:r>
        <w:t>; 8C_299/2022 du 5 septembre 2022 consid. 5.1 et les références ; 8C_582/2021 du 11 janvier 2022 consid. 10.2.2). La question du moment de la clôture du cas, à savoir l'amélioration sensible de l'état de santé par un traitement médical, doit reposer sur des bases fiables (arrêt du Tribunal fédéral 8C_1022/2008 du 30 juillet 2009 consid. 4.3). À noter que le fardeau de la preuve des faits qui suppriment le droit incombe à l'assureur- accidents (arrêt du Tribunal fédéral 8C_1022/2008 du 30 juillet 2009 consid. 4.3). II n'y a pas d'amélioration sensible de l'état de santé quand la mesure thérapeutique (par ex. une cure annuelle) ne fait que soulager momentanément des douleurs occasionnées par un état par ailleurs stationnaire (arrêt du Tribunal fédéral 8C_202/2017 du 21 février 2018 consid. 3 et la référence ; Jean-Maurice FRESARD / Margit MOSER-SZELESS, L'assurance-accidents obligatoire, in Ulrich MEYER (éd.), Soziale Sicherheit, Schweizerisches Bundesverwaltungsrecht [SBVR], 3e éd., Bâle 2016, 968 n. 194) ou qui ne sert non pas à guérir l'atteinte à la santé mais uniquement à combattre les symptômes (arrêts du Tribunal fédéral 8C_363/2020 du 29 septembre 2020 consid. 4.1 et la référence ; 8C_399/2020 du 28 septembre 2020 consid. 5 ; GEERTSEN (n. 20), UVG Kommentar, art. 19 LAA n. 9). Le seul fait que la personne assurée ressente encore des douleurs ou souffre de douleurs chroniques ne permet pas de conclure que son état de santé n'est pas stabilisé (arrêts du Tribunal fédéral 8C_20/2022 du</w:t>
      </w:r>
    </w:p>
    <w:p>
      <w:r>
        <w:rPr>
          <w:b/>
        </w:rPr>
        <w:t>E. 10</w:t>
      </w:r>
    </w:p>
    <w:p>
      <w:r>
        <w:t>juin 2022 consid. 6.3 ; 8C_247/2018 du 1er avril 2019 consid. 5.3 et les références ; 8C_83/2017 du 11 décembre 2017 consid. 4.3 ; André GHELEW / Olivier RAMELET / Jean-Baptiste RITTER, Commentaire de la loi sur l'assurance-accidents (LAA), Lausanne 1992, 72). II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 3 août 2020 consid. 5.2). Par ailleurs, la prescription d'antalgiques et de séances de physiothérapie est compatible avec un état stabilisé (arrêts du Tribunal fédéral 8C_93/2022 du 19 octobre 2022 consid. 4.2 et la référence ; 8C_736/2017 du 20 aout 2018 consid. 4.1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