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ATAS/282/2024 vom 24. April 2024</w:t>
      </w:r>
    </w:p>
    <w:p>
      <w:r>
        <w:t>GE Cour de justice, 2024-04-24, FR</w:t>
      </w:r>
    </w:p>
    <w:p>
      <w:r>
        <w:rPr>
          <w:b/>
        </w:rPr>
        <w:t xml:space="preserve">Quelle: </w:t>
      </w:r>
      <w:r>
        <w:t>https://mcp.opencaselaw.ch/entscheid/ge_gerichte_ATAS_282_2024</w:t>
      </w:r>
    </w:p>
    <w:p>
      <w:r>
        <w:t>FR: GE_GERICHTE ATAS/282/2024 du 24 avril 2024</w:t>
      </w:r>
    </w:p>
    <w:p>
      <w:r>
        <w:t>IT: GE_GERICHTE ATAS/282/2024 del 24 aprile 2024</w:t>
      </w:r>
    </w:p>
    <w:p>
      <w:pPr>
        <w:pStyle w:val="Heading2"/>
      </w:pPr>
      <w:r>
        <w:t>Erwägungen</w:t>
      </w:r>
    </w:p>
    <w:p>
      <w:r>
        <w:rPr>
          <w:b/>
        </w:rPr>
        <w:t>E. 1</w:t>
      </w:r>
    </w:p>
    <w:p>
      <w:r>
        <w:t>Conformément à l'art. 134 al. 1 let. a ch. 5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w:t>
      </w:r>
    </w:p>
    <w:p>
      <w:r>
        <w:rPr>
          <w:b/>
        </w:rPr>
        <w:t>E. 2</w:t>
      </w:r>
    </w:p>
    <w:p>
      <w:r>
        <w:t>À teneur de l'art. 1 al. 1 LAA, les dispositions de la LPGA s'appliquent à l'assurance-accidents, à moins que la loi n'y déroge expressément.</w:t>
      </w:r>
    </w:p>
    <w:p>
      <w:r>
        <w:rPr>
          <w:b/>
        </w:rPr>
        <w:t>E. 2.2</w:t>
      </w:r>
    </w:p>
    <w:p>
      <w:r>
        <w:t>et les références). Il convient de se fonder, en règle générale, sur les salaires mensuels indiqués dans la table ESS TA1_tirage_skill_level, à la ligne «total secteur privé» (ATF 124 V 321 consid. 3b/aa). On se réfère alors à la statistique des salaires bruts standardisés, en se fondant toujours sur la médiane ou valeur centrale (ATF 126 V 75 consid. 3b/bb ; arrêt du Tribunal fédéral 8C_58/2021 du 30 juin 2021 consid. 4.1.1), étant précisé que, depuis l'ESS 2012, il y a lieu d'appliquer le tableau TA1_skill_level et non pas le tableau TA1_b (ATF 142 V 178). Lorsque cela apparaît indiqué dans un cas concret pour permettre à l'assuré de mettre pleinement à profit sa capacité résiduelle de travail, il y a lieu parfois de se référer aux salaires mensuels de secteurs particuliers (secteur 2 [production] ou 3</w:t>
      </w:r>
    </w:p>
    <w:p>
      <w:r>
        <w:t>A/781/2023 - 12/18 - [services]), voire à des branches particulières; tel est notamment le cas lorsqu'avant l'atteinte à la santé, l'assuré a travaillé dans un domaine pendant de nombreuses années et qu'une activité dans un autre domaine n'entre pas en ligne de compte (arrêt du Tribunal fédéral 8C_205/2021 du 4 août 2021 consid. 3.2.1 et la référence). Il y a en revanche lieu de se référer à la ligne "total secteur privé" lorsque l'assuré ne peut plus raisonnablement exercer son activité habituelle et qu'il est tributaire d'un nouveau domaine d'activité pour lequel l'ensemble du marché du travail est en principe disponible (arrêt du Tribunal fédéral 8C_405/2021 du 9 novembre 2021 consid. 5.2.1 et les références). En outre, lorsque les circonstances du cas concret le justifient, on peut s'écarter de la table TA1 (salaire mensuel brut [valeur centrale] selon les branches économiques dans le secteur privé) pour se référer à la table TA7 (salaire mensuel brut [valeur centrale] selon le domaine d'activité dans les secteurs privé et public ensemble), si cela permet de fixer plus précisément le revenu d'invalide et que le secteur en question est adapté et exigible. C'est le lieu de préciser que les tables TA1, T1 et TA7 des ESS publiées jusqu'en 2010 correspondent respectivement aux tables TA1_skill_level, T1_tirage_skill_level et T17 des ESS publiées depuis 2012 (arrêt du Tribunal fédéral 8C_205/2021 du 4 août 2021 consid. 3.2.2 et les références). La valeur statistique – médiane – s'applique,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Il convient de se référer à la version de l'ESS publiée au moment déterminant de la décision querellée (ATF 143 V 295 consid. 4 et les références; arrêt du Tribunal fédéral 8C_801/2021 du 28 juin 2022 consid. 3.6).</w:t>
      </w:r>
    </w:p>
    <w:p>
      <w:r>
        <w:rPr>
          <w:b/>
        </w:rPr>
        <w:t>E. 3</w:t>
      </w:r>
    </w:p>
    <w:p>
      <w:r>
        <w:t>Le 1er janvier 2021 est entrée en vigueur la modification du 21 juin 2019 de la LPGA. Dans la mesure où le recours a été interjeté postérieurement au 1er janvier 2021, il est soumis au nouveau droit (cf. art. 82a LPGA a contrario).</w:t>
      </w:r>
    </w:p>
    <w:p>
      <w:r>
        <w:rPr>
          <w:b/>
        </w:rPr>
        <w:t>E. 3.3</w:t>
      </w:r>
    </w:p>
    <w:p>
      <w:r>
        <w:t>et les références; arrêt du Tribunal fédéral 8C_167/2022 du 18 août 2022 consid. 5.4).</w:t>
      </w:r>
    </w:p>
    <w:p>
      <w:r>
        <w:t>A/781/2023 - 14/18 -</w:t>
      </w:r>
    </w:p>
    <w:p>
      <w:r>
        <w:rPr>
          <w:b/>
        </w:rPr>
        <w:t>E. 4</w:t>
      </w:r>
    </w:p>
    <w:p>
      <w:r>
        <w:t>Le 1er janvier 2017 est entrée en vigueur la modification du 25 septembre 2015 de la LAA. Dans la mesure où l'accident est survenu après cette date, le droit du recourant aux prestations d'assurance est soumis au nouveau droit (cf. al. 1 des dispositions transitoires relatives à la modification du 25 septembre 2015; arrêt du Tribunal fédéral 8C_662/2016 du 23 mai 2017 consid. 2.2). Les dispositions légales seront citées ci-après dans leur teneur en vigueur à compter du 1er janvier 2017.</w:t>
      </w:r>
    </w:p>
    <w:p>
      <w:r>
        <w:t>A/781/2023 - 7/18 -</w:t>
      </w:r>
    </w:p>
    <w:p>
      <w:r>
        <w:rPr>
          <w:b/>
        </w:rPr>
        <w:t>E. 5</w:t>
      </w:r>
    </w:p>
    <w:p>
      <w:r>
        <w:t>Le délai de recours est de trente jours (art. 56 LPGA; art. 62 al. 1 de la de loi sur la procédure administrative du 12 septembre 1985 [LPA - E 5 10]). Interjeté dans la forme et le délai prévus par la loi, le recours est recevable.</w:t>
      </w:r>
    </w:p>
    <w:p>
      <w:r>
        <w:rPr>
          <w:b/>
        </w:rPr>
        <w:t>E. 6</w:t>
      </w:r>
    </w:p>
    <w:p>
      <w:r>
        <w:t>Le litige porte sur le droit du recourant à une rente d’invalidité selon la LAA, seuls demeurant litigieux les revenus avant et après invalidité, et, s’agissant de ce dernier, le taux d’abattement sur le revenu statistique. Le lien de causalité entre l’accident et l’incapacité de travail n’étant pas litigieux, cette question ne sera pas discutée.</w:t>
      </w:r>
    </w:p>
    <w:p>
      <w:r>
        <w:rPr>
          <w:b/>
        </w:rPr>
        <w:t>E. 7.1</w:t>
      </w:r>
    </w:p>
    <w:p>
      <w:r>
        <w:t>Si l'assuré est invalide (art. 8 LPGA) à 10% au moins par suite d’un accident, il a droit à une rente d'invalidité (art. 18 al. 1 LAA).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méthode ordinaire de la comparaison des revenus). Selon l'art. 7 LPGA, est réputée incapacité de gain toute diminution de l'ensemble ou d'une partie des possibilités de gain de l'assuré sur le marché du travail équilibré qui entre en considération, si cette diminution résulte d'une atteinte à sa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w:t>
      </w:r>
    </w:p>
    <w:p>
      <w:r>
        <w:rPr>
          <w:b/>
        </w:rPr>
        <w:t>E. 7.2</w:t>
      </w:r>
    </w:p>
    <w:p>
      <w:r>
        <w:t>Selon l'art. 19 al. 1 LAA, le droit à la rente prend naissance dès qu'il n'y a plus lieu d'attendre de la continuation du traitement médical une sensible amélioration de l'état de l'assuré et que les éventuelles mesures de réadaptation de l'assurance- invalidité ont été menées à terme. Le droit au traitement médical et aux indemnités journalières cesse dès la naissance du droit à la rente. Il faut en principe que l’état de santé de l’assuré puisse être considéré comme stable d’un point de vue médical (arrêt du Tribunal fédéral 8C_591/2022 du 14 juillet 2023 consid. 3.2 et la référence).</w:t>
      </w:r>
    </w:p>
    <w:p>
      <w:r>
        <w:rPr>
          <w:b/>
        </w:rPr>
        <w:t>E. 8.1</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 tâche du médecin consiste à porter un jugement sur l'état de santé et à indiquer dans quelle mesure et pour quelles activités l'assuré est</w:t>
      </w:r>
    </w:p>
    <w:p>
      <w:r>
        <w:t>A/781/2023 - 8/18 - incapable de travailler. En outre, les données médicales constituent un élément utile pour déterminer quels travaux on peut encore, raisonnablement, exiger de l'assuré (ATF 132 V 93 consid. 4 et les références ; 125 V 256 consid. 4 et les références). Pour apprécier le droit aux prestations d’assurances sociales, il y a lieu de se baser sur des éléments médicaux fiables (ATF 134 V 231 consid 5.1).</w:t>
      </w:r>
    </w:p>
    <w:p>
      <w:r>
        <w:rPr>
          <w:b/>
        </w:rPr>
        <w:t>E. 8.2</w:t>
      </w:r>
    </w:p>
    <w:p>
      <w:r>
        <w:t>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(ATF 143 V 124 consid. 2.2.2).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(ATF 125 V 351 consid. 3b).</w:t>
      </w:r>
    </w:p>
    <w:p>
      <w:r>
        <w:rPr>
          <w:b/>
        </w:rPr>
        <w:t>E. 8.3</w:t>
      </w:r>
    </w:p>
    <w:p>
      <w:r>
        <w:t>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s'il existe un doute même minime sur la fiabilité et la validité des constatations d'un médecin de l'assurance, il y a lieu de procéder à des investigations complémentaires (ATF 145 V 97 consid. 8.5 et les références ; 142</w:t>
      </w:r>
    </w:p>
    <w:p>
      <w:r>
        <w:t>A/781/2023 - 9/18 -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 arrêt du Tribunal fédéral 8C_691/2021 du 24 février 2022 consid. 3.4).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mêmes faibles quant à la fiabilité et la pertinence de cette appréciation, la cause ne saurait être tranchée en se fondant sur l’un ou sur l’autre de ces avis et il y a lieu de mettre en œuvre une expertise par un médecin indépendant selon la procédure de l’art. 44 LPGA ou une expertise judiciaire (ATF 139 V 225 consid. 5.2 et les références ; 135 V 465 consid. 4.6).</w:t>
      </w:r>
    </w:p>
    <w:p>
      <w:r>
        <w:rPr>
          <w:b/>
        </w:rPr>
        <w:t>E. 8.4</w:t>
      </w:r>
    </w:p>
    <w:p>
      <w:r>
        <w:t>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135 V 465 consid. 4.5 et les références;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 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w:t>
      </w:r>
    </w:p>
    <w:p>
      <w:r>
        <w:rPr>
          <w:b/>
        </w:rPr>
        <w:t>E. 9</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142 V 435 consid. 1 et les références ; 126 V 353 consid. 5b et les références ; 125 V 193 consid. 2 et les références ; cf. 130 III 321 consid. 3.2 et 3.3 et les références). Aussi n’existe-t-il pas, en droit des assurances sociales, un principe selon lequel l’administration ou le juge devrait statuer, dans le doute, en faveur de l’assuré (ATF 135 V 39 consid. 6. 1 et la référence).</w:t>
      </w:r>
    </w:p>
    <w:p>
      <w:r>
        <w:t>A/781/2023 - 10/18 -</w:t>
      </w:r>
    </w:p>
    <w:p>
      <w:r>
        <w:rPr>
          <w:b/>
        </w:rPr>
        <w:t>E. 10</w:t>
      </w:r>
    </w:p>
    <w:p>
      <w:r>
        <w:t>août 2023 consid. 3.2 et la référence).</w:t>
      </w:r>
    </w:p>
    <w:p>
      <w:r>
        <w:rPr>
          <w:b/>
        </w:rPr>
        <w:t>E. 10.1</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8 al. 1 et art. 16 LPGA). En règle ordinaire, il s'agit de chiffrer aussi exactement que possible ces deux revenus et de les confronter l'un avec l'autre, la différence permettant de calculer le taux d'invalidité. Dans la mesure où ils ne peuvent être chiffrés exactement, ils doivent être estimés d'après les éléments connus dans le cas particulier, après quoi l'on compare entre elles les valeurs approximatives ainsi obtenues (méthode générale de comparaison des revenus ; ATF 137 V 334 consid. 3.3.1).</w:t>
      </w:r>
    </w:p>
    <w:p>
      <w:r>
        <w:rPr>
          <w:b/>
        </w:rPr>
        <w:t>E. 10.2</w:t>
      </w:r>
    </w:p>
    <w:p>
      <w:r>
        <w:t>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consid. 4.1 et les références).</w:t>
      </w:r>
    </w:p>
    <w:p>
      <w:r>
        <w:rPr>
          <w:b/>
        </w:rPr>
        <w:t>E. 10.3</w:t>
      </w:r>
    </w:p>
    <w:p>
      <w:r>
        <w:t>Pour déterminer le revenu sans invalidité, il convient d'établir ce que l'assuré aurait, au degré de la vraisemblance prépondérante, réellement pu obtenir au moment déterminant s'il n'était pas devenu invalide. Le revenu sans invalidité doit être évalué de la manière la plus concrète possible. Partant de la présomption que l'assuré aurait continué d'exercer son activité sans la survenance de son invalidité, ce revenu se déduit en principe du salaire réalisé en dernier lieu par l'assuré avant l'atteinte à la santé, en prenant en compte également l'évolution des salaires jusqu'au moment de la naissance du droit à la rente (ATF 144 I 103 consid. 5.3 ; 139 V 28 consid. 3.3.2 et les références ; 135 V 297 consid. 5.1 et les références ; 134 V 322 consid. 4.1 et les références). Toutefois, lorsque la perte de l'emploi est due à des motifs étrangers à l'invalidité, le salaire doit être établi sur la base de valeurs moyennes. Autrement dit, dans un tel cas, n'est pas déterminant pour la fixation du revenu hypothétique de la personne valide le salaire que la personne assurée réaliserait actuellement auprès de son ancien employeur, mais bien plutôt celui qu'elle réaliserait si elle n'était pas devenue invalide (arrêt du Tribunal fédéral 8C_50/2022 du 11 août 2022 consid. 5.1.1 et la référence). Le salaire réalisé en dernier lieu par l'assuré comprend tous les revenus d'une activité lucrative (y compris les gains accessoires et la rémunération des heures supplémentaires effectuées de manière régulière) soumis aux cotisations à l'assurance-vieillesse et survivants. En effet, l'art. 25 al. 1 du règlement sur l’assurance-invalidité du 17 janvier 1961 (RAI – RS 831.201) établit un parallèle entre le revenu soumis à cotisation à l'AVS et le revenu à prendre en considération pour l'évaluation de l'invalidité; le parallèle n'a toutefois pas valeur absolue. Cette</w:t>
      </w:r>
    </w:p>
    <w:p>
      <w:r>
        <w:t>A/781/2023 - 11/18 - réglementation est applicable par analogie dans le domaine de l'assurance- accidents, dès lors que la notion d'invalidité y est la même que dans l'assurance- invalidité. On rappellera cependant que l'évaluation de l'invalidité par l'assurance- invalidité n'a pas de force contraignante pour l'assureur-accidents de même, l'assurance-invalidité n'est pas liée par l'évaluation de l'invalidité de l'assurance- accidents. Pour établir le salaire réalisé en dernier lieu et son évolution subséquente, on se fondera en premier lieu sur les renseignements fournis par l'employeur. Tant pour les personnes salariées que pour celles de condition indépendante, on peut également se référer aux revenus figurant dans l'extrait du compte individuel de l'AVS (arrêt du Tribunal fédéral 8C_679/2020 du 1er juillet 2021 consid. 5.1 et les références). Il est toutefois possible de s’écarter du dernier salaire que l’assuré a obtenu avant l’atteinte à la santé quand on ne peut pas l’évaluer sûrement. Ainsi, lorsque le revenu avant l’atteinte à la santé a été soumis à des fluctuations importantes à relativement court terme, il y a lieu de se baser sur le revenu moyen réalisé pendant une période assez longue (arrêt du Tribunal fédéral 8C_157/2023 du</w:t>
      </w:r>
    </w:p>
    <w:p>
      <w:r>
        <w:rPr>
          <w:b/>
        </w:rPr>
        <w:t>E. 10.4</w:t>
      </w:r>
    </w:p>
    <w:p>
      <w:r>
        <w:t>On évaluera le revenu que l'assuré pourrait encore réaliser dans une activité adaptée avant tout en fonction de la situation concrète dans laquelle il se trouve. Lorsqu'il a repris l'exercice d'une activité lucrative après la survenance de l'atteinte à la santé, il faut d'abord examiner si cette activité est stable, met pleinement en valeur sa capacité de travail résiduelle et lui procure un gain correspondant au travail effectivement fourni, sans contenir d'élément de salaire social. Si ces conditions sont réunies, on prendra en compte le revenu effectivement réalisé pour fixer le revenu d'invalide (ATF 139 V 592 consid. 2.3 et les références ; 135 V 297 consid. 5.2 et les références).</w:t>
      </w:r>
    </w:p>
    <w:p>
      <w:r>
        <w:rPr>
          <w:b/>
        </w:rPr>
        <w:t>E. 10.5</w:t>
      </w:r>
    </w:p>
    <w:p>
      <w:r>
        <w:t>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l'ESS (ATF 148 V 174 consid. 6.2 et les références; ATF 143 V 295 consid.</w:t>
      </w:r>
    </w:p>
    <w:p>
      <w:r>
        <w:rPr>
          <w:b/>
        </w:rPr>
        <w:t>E. 10.6</w:t>
      </w:r>
    </w:p>
    <w:p>
      <w:r>
        <w:t>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148 V 174 consid. 6.3 et les références; ATF 135 V 297 consid. 5.2; ATF 134 V 322 consid. 5.2 et les références). Une telle déduction ne doit pas être opérée automatiquement, mais seulement lorsqu'il existe des indices qu'en raison d'un ou de plusieurs facteurs, l'intéressé ne peut mettre en valeur sa capacité résiduelle de travail sur le marché du travail qu'avec un résultat économique inférieur à la</w:t>
      </w:r>
    </w:p>
    <w:p>
      <w:r>
        <w:t>A/781/2023 - 13/18 - moyenne (ATF 148 V 174 consid. 6.3 et les références; ATF 146 V 16 consid. 4.1 et les références; ATF 126 V 75 consid. 5b/aa). Il n'y a pas lieu de procéder à des déductions distinctes pour chacun des facteurs entrant en considération ; il faut bien plutôt procéder à une évaluation globale, dans les limites du pouvoir d'appréciation, des effets de ces facteurs sur le revenu d'invalide, compte tenu de l'ensemble des circonstances du cas concret (ATF 148 V 174 consid. 6.3 et les références; ATF 126 V 75 consid. 5b/bb et les références ; arrêt du Tribunal fédéral 8C_608/2021 du 26 avril 2022 consid. 3.3 et les références). À cet égard, le pouvoir d'examen de l’autorité judiciaire cantonale n'est pas limité à la violation du droit (y compris l'excès ou l'abus du pouvoir d'appréciation), mais s'étend également à l'opportunité de la décision administrative (« Angemessenheitskontrolle »). En ce qui concerne l'opportunité de la décision en cause, l'examen porte sur le point de savoir si une autre solution que celle que l'autorité, dans un cas concret, a adoptée dans l'exercice de son pouvoir d'appréciation et en respectant les principes généraux du droit n'aurait pas été plus judicieuse quant à son résultat. À cet égard, le tribunal des assurances sociales ne peut pas, sans motif pertinent, substituer sa propre appréciation à celle de l'administration; il doit s'appuyer sur des circonstances de nature à faire apparaître sa propre appréciation comme la mieux appropriée (ATF 137 V 71 consid. 5.2 et la référence). Concernant l'abattement pour les limitations fonctionnelles, on rappellera qu'une réduction au titre du handicap dépend de la nature des limitations fonctionnelles présentées et n'entre en considération que si, sur un marché du travail équilibré, il n'y a plus un éventail suffisamment large d'activités accessibles à l'assuré (ATF 148 V 419 consid. 6 et les références). Le salaire fondé sur les ESS doit encore être adapté à l’horaire de travail usuel de la branche, et indexé à l’année déterminante en tenant compte des valeurs spécifiques au sexe (ATF 129 V 408). Le cas échéant, il y a lieu d'adapter le salaire statistique à l'évolution des salaires nominaux en appliquant soit le chiffre définitif de l'indice suisse des salaires nominaux publié au moment déterminant de la décision litigieuse, soit la plus récente estimation trimestrielle (ATF 143 V 295 consid. 4.1.3 ; arrêt du Tribunal fédéral 8C_659/2022 du 2 mai 2023 consid. 7.2).</w:t>
      </w:r>
    </w:p>
    <w:p>
      <w:r>
        <w:rPr>
          <w:b/>
        </w:rPr>
        <w:t>E. 11</w:t>
      </w:r>
    </w:p>
    <w:p>
      <w:r>
        <w:t>Le taux d'invalidité doit être arrondi au pourcentage supérieur ou inférieur selon les règles mathématiques reconnues. Cela vaut également dans l'assurance- accidents, même si l'arrondi à l'unité supérieure ou inférieure (hormis la valeur de référence de 10 % [cf. art. 18 al. 1 LAA]) représente une perte ou un gain de quelques francs sur le montant mensuel de la rente (ATF 131 V 121 consid. 3.2. et</w:t>
      </w:r>
    </w:p>
    <w:p>
      <w:r>
        <w:rPr>
          <w:b/>
        </w:rPr>
        <w:t>E. 12</w:t>
      </w:r>
    </w:p>
    <w:p>
      <w:r>
        <w:t>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145 I 167 consid. 4.1 et les références ; ATF 140 I 285 consid. 6.3.1 et les références).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13</w:t>
      </w:r>
    </w:p>
    <w:p>
      <w:r>
        <w:t>Au cas d’espèce, il est constant que l’état de santé du recourant doit être considéré comme stabilisé en 2022, année au cours de laquelle la décision entreprise a été rendue. Ce sont dès lors les données valables à ce moment qui sont déterminantes pour le calcul du taux d’invalidité.</w:t>
      </w:r>
    </w:p>
    <w:p>
      <w:r>
        <w:rPr>
          <w:b/>
        </w:rPr>
        <w:t>E. 14.1</w:t>
      </w:r>
    </w:p>
    <w:p>
      <w:r>
        <w:t>Le recourant conteste tout d’abord le revenu sans invalidité retenu par l’intimée. Il estime que celui-ci doit être établi sur la base de la moyenne de ses salaires annuels chez son ancien employeur, ce qui correspondrait à CHF 62'159.-.</w:t>
      </w:r>
    </w:p>
    <w:p>
      <w:r>
        <w:rPr>
          <w:b/>
        </w:rPr>
        <w:t>E. 14.2</w:t>
      </w:r>
    </w:p>
    <w:p>
      <w:r>
        <w:t>L’intimée a établi le revenu qu’aurait réalisé le recourant en se fondant sur les indications communiquées par son ancien employeur relatives à l’année 2020, soit un revenu annuel de CHF 58'890.- qu’elle a ensuite indexé selon le tableau T1.1.20 (Indice des salaires nominaux, hommes, 2020-2021, « transport et entreposage, Poste et courrier »), l’indice pour 2022 ayant été estimé sur les données des trois premiers trimestres de l’année. Le salaire annuel brut déterminant a ainsi été fixé à CHF 59'597.33.</w:t>
      </w:r>
    </w:p>
    <w:p>
      <w:r>
        <w:rPr>
          <w:b/>
        </w:rPr>
        <w:t>E. 14.3</w:t>
      </w:r>
    </w:p>
    <w:p>
      <w:r>
        <w:t>Contrairement à ce que prétend le recourant, il n’y a pas lieu d’effectuer une moyenne de ses salaires annuels tels qu’ils ressortent de son compte individuel. En effet, ses revenus chez son ancien employeur n’ont pas subi d’importantes fluctuations à court terme, au sens de la jurisprudence rappelée ci-dessus (cf. consid. 11.c). Certes, il a perçu un salaire supérieur durant les années 2013 à 2016, sans toutefois que l’on puisse établir pour quel motif, ni qu’on dispose d’une quelconque indication en faveur de la réalisation d’un tel salaire au moment déterminant du calcul du droit à la rente. Au contraire, sollicité par l’intimée, l’employeur a déclaré que le revenu du recourant devait progresser de manière linéaire entre 2020 et 2022, à raison de CHF 100.- supplémentaires par mois, le salaire prévisible pour 2022 étant fixé à CHF 60'222.-. C’est ce montant qu’il convient de retenir, puisqu’il correspond, à un degré de haute vraisemblance, à celui que le recourant aurait perçu sans atteinte à la santé en restant au service du même employeur.</w:t>
      </w:r>
    </w:p>
    <w:p>
      <w:r>
        <w:t>A/781/2023 - 15/18 -</w:t>
      </w:r>
    </w:p>
    <w:p>
      <w:r>
        <w:rPr>
          <w:b/>
        </w:rPr>
        <w:t>E. 15.1</w:t>
      </w:r>
    </w:p>
    <w:p>
      <w:r>
        <w:t>Le recourant ne conteste pas le salaire statistique d’invalide retenu par l’intimée, mais le taux d’abattement appliqué. Se fondant sur l’avis de son chirurgien traitant, il considère qu’en raison des multiples limitations fonctionnelles qu’il convient de lui reconnaître, c’est un abattement de 15% qui se justifie, et non seulement 10%.</w:t>
      </w:r>
    </w:p>
    <w:p>
      <w:r>
        <w:rPr>
          <w:b/>
        </w:rPr>
        <w:t>E. 15.2</w:t>
      </w:r>
    </w:p>
    <w:p>
      <w:r>
        <w:t>Le recourant a fait l’objet d’une évaluation lors d’un séjour de plusieurs semaines au sein de la CRR. À l’issue dudit séjour, les médecins ont fait état de limitations fonctionnelles qu’ils ont qualifiées de provisoires, l’intéressé devant encore faire l’objet de tests plus concrets dans le cadre d’une mesure d’évaluation de ses capacités fonctionnelles, qui a été mise en œuvre par l’assurance-invalidité par la suite. Les limitations fonctionnelles provisoires retenues étaient les suivantes : port de charges répétitif et/ou prolongé de plus de 15 kg, mouvements nécessitant de la force de la main et du poignet gauche de manière répétitive surtout avec contact avec la paume, activités avec vibrations. Un changement d’activité professionnelle était conseillé. Le 28 juin 2022, le Dr D______, médecin-conseil de l’intimée, a rendu un rapport après avoir examiné le recourant. Au terme d’un examen minutieux, d’une anamnèse complète, laquelle reprend notamment les différentes conclusions et constats de ses confrères, il s’est prononcé sur la capacité de travail résiduelle du recourant et de ses limitations fonctionnelles. Ses conclusions, motivées et convaincantes, fondées sur une analyse complète du dossier et ses propres constatations cliniques, emportent conviction. C’est ainsi qu’il a retenu que l’activité habituelle d’agent d’entrepôt et logisticien chez B______ n’était plus exigible, en particulier en ce qui concernait la partie physique de l’activité. Le recourant était en revanche capable de travailler à plein temps et avec un plein rendement dans toute activité adaptée aux limitations fonctionnelles, en utilisant principalement le membre et la main droits (main dominante). Les limitations fonctionnelles définitives suivantes étaient retenues : port de charges même léger, maximum 5kg, avec la main gauche, activité nécessitant de la force avec la main et le poignet gauches, activité entraînant des contacts répétitifs avec la paume gauche, activité répétitive du poing et des doigts de la main gauche, activité avec vibrations. L’avis légèrement divergent du chirurgien traitant ne saurait justifier que l’on s’écarte des limitations fonctionnelles retenues par le Dr D______. En effet, le Dr E______ se limite à lister les limitations fonctionnelles qu’il retient, sans les motiver, ajoutant dans son second certificat celles retenues par son confrère de la SUVA. En particulier, on ne comprend pas pour quelle raison le médecin considère que les activités répétitives avec le membre supérieur gauche seraient contre-indiquées, alors que seule la main est concernée par les séquelles de l’accident. Cette limitation est par ailleurs contredite par les mensurations des membres supérieurs effectuées par le Dr D______, mensurations qui ne laissent</w:t>
      </w:r>
    </w:p>
    <w:p>
      <w:r>
        <w:t>A/781/2023 - 16/18 - pas apparaître de différence de périmètre au niveau des deux bras, étant rappelé que le membre dominant du recourant est celui qui n’a pas été blessé. Ceci laisse clairement penser que le recourant se sert de ses deux bras de façon équivalente. L’évaluation des capacités professionnelles à la CRR en janvier 2022 sur mandat de l’assurance-invalidité ne va pas non plus dans le sens des limitations complémentaires retenues par le Dr E______. En effet, l’assuré avait notamment été capable de travailler à l’établi dans un poste bimanuel pendant plusieurs heures d’affilée. Quant à la nécessité d’éviter les travaux dans le froid, elle ne repose sur aucune plainte du recourant ou constatation clinique. Aucune mention y relative ne se retrouve dans les pièces médicales au dossier. Quoi qu’il en soit, même à admettre que cette restriction supplémentaire doive être retenue, cela serait sans influence sur l’établissement du taux d’invalidité, comme cela sera démontré ci-après. Au vu de ce qui précède, nul n’est besoin de procéder à l’audition du Dr E______, dans la mesure où ses considérations ne permettent pas de mettre en doute les conclusions du Dr D______, respectivement sont dépourvues d’influence sur la détermination du taux d’invalidité.</w:t>
      </w:r>
    </w:p>
    <w:p>
      <w:r>
        <w:rPr>
          <w:b/>
        </w:rPr>
        <w:t>E. 15.3</w:t>
      </w:r>
    </w:p>
    <w:p>
      <w:r>
        <w:t>Les limitations fonctionnelles du recourant étant fixées, il convient à présent d’examiner si l’abattement de 10% opéré par l’intimée est conforme à la jurisprudence rappelée ci-dessus, étant précisé qu’aucun autre critère n’est susceptible d’avoir une influence sur les possibilités de gain du recourant dans le cas présent. À ce propos, on rappellera que l’absence de formation n’est pas un critère reconnu par la jurisprudence pour définir l’abattement éventuel sur le salaire statistique, ce d’autant qu’il existe un nombre significatifs d’emplois de nécessitant pas de formation parmi l’ensemble des activité simples et répétitives offertes sur un marché équilibré du travail. En l’espèce, les capacités fonctionnelles du recourant ont été testées concrètement non seulement lors de son séjour à la CRR, mais aussi et surtout lors de l’évaluation mandatée par l’assurance-invalidité. Il ressort de cette dernière que le recourant peut prétendre à des postes de travail compatibles avec ses limitations dans de nombreux domaines. Ainsi, les activités retenues – dans une liste non exhaustive et dont la totalité permet de préserver la main du froid – sont suffisamment nombreuses pour considérer que l’intéressé n’est pas péjoré dans ses perspectives de gain au point qu’un abattement supérieur à celui appliqué par l’intimée se justifie. La liste évoquée ci-avant (cf. consid. B.e) a même été complétée par l’assurance-invalidité dans son projet de décision du</w:t>
      </w:r>
    </w:p>
    <w:p>
      <w:r>
        <w:rPr>
          <w:b/>
        </w:rPr>
        <w:t>E. 18</w:t>
      </w:r>
    </w:p>
    <w:p>
      <w:r>
        <w:t>Pour le surplus, la procédure est gratuite (art. 61 let. fbis LPGA a contrario).</w:t>
      </w:r>
    </w:p>
    <w:p>
      <w:r>
        <w:t>A/781/2023 - 18/18 -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