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ATAS/282/2021 vom 24. März 2021</w:t>
      </w:r>
    </w:p>
    <w:p>
      <w:r>
        <w:t>GE Cour de justice, 2021-03-24, FR</w:t>
      </w:r>
    </w:p>
    <w:p>
      <w:r>
        <w:rPr>
          <w:b/>
        </w:rPr>
        <w:t xml:space="preserve">Quelle: </w:t>
      </w:r>
      <w:r>
        <w:t>https://mcp.opencaselaw.ch/entscheid/ge_gerichte_ATAS_282_2021</w:t>
      </w:r>
    </w:p>
    <w:p>
      <w:r>
        <w:t>FR: GE_GERICHTE ATAS/282/2021 du 24 mars 2021</w:t>
      </w:r>
    </w:p>
    <w:p>
      <w:r>
        <w:t>IT: GE_GERICHTE ATAS/282/2021 del 24 marzo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 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litige porte sur le droit éventuel de la recourante à une rente d'invalidité.</w:t>
      </w:r>
    </w:p>
    <w:p>
      <w:r>
        <w:t>A/388/2020 - 5/12 -</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w:t>
      </w:r>
    </w:p>
    <w:p>
      <w:r>
        <w:t>A/388/2020 - 6/12 -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w:t>
      </w:r>
    </w:p>
    <w:p>
      <w:r>
        <w:t>A/388/2020 - 7/12 -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w:t>
      </w:r>
    </w:p>
    <w:p>
      <w:r>
        <w:t>A/388/2020 - 8/12 -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 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w:t>
      </w:r>
    </w:p>
    <w:p>
      <w:r>
        <w:t>A/388/2020 - 9/12 -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concernant la capacité de travail, l'intimée s'est fondée sur les conclusions prises par le Dr D______ à l'issue de l'examen final du 24 janvier 2019, aux termes desquelles si la rupture de la coiffe des rotateurs de l'épaule droite de la recourante ne permet plus l'exercice de l'ancienne activité de nettoyeuse, dans une activité adaptée en position assise ou debout, avec un port de charges ponctuel limité à 3 kg du côté droit, sans mouvement de rotation répété de cette épaule, sans devoir la porter en hauteur, sans limitation du côté gauche, sans devoir monter sur une échelle, on peut s'attendre à une activité professionnelle réalisée la journée entière, sans baisse de rendement. Le rapport du Dr D______, fondé sur un examen clinique de l'assurée, comporte un résumé des rapports médicaux et des documents d'imagerie, relate les plaintes de la recourante, motive le diagnostic et les répercussions fonctionnelles; il remplit ainsi les réquisits jurisprudentiels permettant de lui reconnaître valeur probante. La recourante conteste cette appréciation et se réfère au rapport du Dr C______, aux termes duquel la patiente ne peut pas travailler les bras au-dessus de la tête, porter plus de 10 kg, elle ne peut pas travailler ni marcher longtemps. En outre, il lui est aussi difficile de travailler assise durant des heures. La recourante fait état de ses problèmes de genoux. Or, il sied de rappeler, comme le souligne l'intimée, que les seules conséquences de l'accident du 29 décembre 2017 sont ici déterminantes, à savoir les lésions de l'épaule droite et ses répercussions sur la capacité de travail. Quant au rapport du Dr C______, il n'indique pas en quoi et sur la base de quels arguments l'appréciation du Dr D______ serait erronée. La recourante n'étaye pas davantage ses allégués par d'autres rapports médicaux. Il s'ensuit qu'une évaluation pluridisciplinaire ne s'impose pas. De même, les facteurs étrangers à l'accident, tels qu'une formation ou des connaissances linguistiques insuffisantes ne peuvent être prises en compte dans l'évaluation de l'invalidité (cf. ATF 8C_661/2018 du 28 octobre 2019, consid. 3.3.4.2).</w:t>
      </w:r>
    </w:p>
    <w:p>
      <w:r>
        <w:t>A/388/2020 - 10/12 - Compte tenu de ce qui précède, force est de conclure que le rapport du Dr C______ n'est pas de nature à remettre en cause les conclusions du Dr D______. Par conséquent, la Cour de céans s'en tiendra à l'appréciation de ce dernier, à savoir que dans une activité adaptée aux limitations fonctionnelles de l'épaule droite, la capacité de travail est totale à plein temps, sans diminution de rendement.</w:t>
      </w:r>
    </w:p>
    <w:p>
      <w:r>
        <w:rPr>
          <w:b/>
        </w:rPr>
        <w:t>E. 10</w:t>
      </w:r>
    </w:p>
    <w:p>
      <w:r>
        <w:t>Pour la détermination du degré d'invalidité de la recourante, il y a lieu de procéder à la comparaison des revenus en 2019 - date à laquelle l'état de santé doit être considéré comme stabilisé - et donc de l'ouverture éventuelle du droit à la rente. Il convient de préciser que les variations enregistrées par les revenus à comparer doivent être prises en compte jusqu'à la date de la décision sur opposition (cf. ATF 143 V 295 consid. 4.1.2), en l'occurrence le 30 décembre 2019. Le revenu sans invalidité retenu par l'intimée, soit CHF 48'074.-, n'est pas contesté. S'agissant du revenu d'invalide, en l'absence d'exercice d'une activité lucrative, l'intimée s'est référée à juste titre aux données statistiques de l'Enquête suisse sur la structure des salaires (ESS) 2016 - étant rappelé que l'ESS 2018 n'était pas encore publiée par l'Office fédéral de la statistique (publication le 21 avril 2020) lors de la décision litigieuse - Table 1, niveau de compétences 1, selon lesquelles la valeur moyenne de rémunération pour des femmes exécutant des tâches physiques ou manuelle simples s'élevait à CHF 4'363.- pour 40 heures de travail par semaine. En tenant compte d'une durée moyenne hebdomadaire de travail dans les entreprises de 41.7 heures, le salaire annuel s'élève à CHF 54'581.- (4'363.- : 40 h x 41.7 h x 12). En tenant compte de l'évolution des salaires nominaux (0.4 % en 2017, 0.50% en 2018, 1.0% en 2019), on obtient un salaire d'invalide de CHF 55'348.82 en 2019. La décision litigieuse ne prête par le flanc à la critique en tant qu'elle fixe le revenu d'invalide à CHF 55'348.82, arrondi à CHF 55'349.-.</w:t>
      </w:r>
    </w:p>
    <w:p>
      <w:r>
        <w:rPr>
          <w:b/>
        </w:rPr>
        <w:t>E. 11</w:t>
      </w:r>
    </w:p>
    <w:p>
      <w:r>
        <w:t>Reste à examiner s'il y a lieu d'opérer une réduction sur le revenu statistique de CHF 55'349.-. Au vu des limitations fonctionnelles, l'intimée a tenu compte d'une réduction de 5 % et fixé ainsi à CHF 52'581.- le gain d'invalide exigible. Le recourante fait valoir que ce taux d'abattement est insuffisant et qu'au vu de son âge, des limitations fonctionnelles importantes, des années de service et de son taux d'occupation, c'est un taux de réduction de 20% au moins qui doit être retenu. Le critère des années de service ne peut en principe intervenir que dans l'hypothèse où l'assuré approche de l'âge ordinaire de la retraite, ce qui n'est pas le cas en l'espèce, la recourante étant âgée de 57 ans en 2019. En effet, la notion d'âge avancé se situe aux environs de 60 ans. De surcroît, l'âge d'un assuré ne constitue pas en lui-même un facteur de réduction du salaire statistique. Il ne suffit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w:t>
      </w:r>
    </w:p>
    <w:p>
      <w:r>
        <w:t>A/388/2020 - 11/12 -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Dans un arrêt du 28 octobre 2019 (8C_661/2018, consid. 3.3.3.2), le Tribunal fédéral a rappelé que compte tenu du fait que les activités simples envisagées (du niveau de compétence 1) ne requièrent ni formation, ni expérience professionnelle spécifique, les effets pénalisants au niveau salarial induits par l'âge ne peuvent pas être considérés comme suffisamment établis. Il n'est donc pas nécessaire de décider aujourd'hui si l'âge d'un assuré constitue même un critère susceptible de justifier un abattement sur le salaire statistique dans le domaine de l'assurance-accidents obligatoire compte tenu de la réglementation particulière de l'art. 28 al. 4 OLAA, question laissée ouverte par le Tribunal fédéral dans plusieurs arrêts récents (voir, en dernier lieu, l'arrêt 8C_878/2018 du 21 août 2019 consid. 5.3.1 et les références citées). Le point de savoir s'il se justifie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8C_549/2019 du 26 novembre 2019 consid. 7.7; 8C_661/2018 du 28 octobre 2019 consid. 3.3.4.3). En l'occurrence, selon le Dr D______, l'assurée est en mesure d'exercer une activité à plein temps, sans limitation de rendement, si l'activité respecte ses limitations fonctionnelles, à savoir une activité en position assise ou debout, avec un port de charges ponctuel limité à 3 kg du côté droit, sans mouvement de rotation répété de l'épaule, pas de travail s'effectuant au-dessus du plan de l'épaule, ni monter sur une échelle. A cet égard, il sied de rappeler que compte tenu du large éventail d'activités simples et répétitives (qui correspondent à un emploi léger) que recouvre le marché du travail, un certain nombre d'entre elles, ne nécessitant aucune formation spécifique, sont raisonnablement exigibles de la recourante. Si les limitations fonctionnelles décrites par le Dr D______ excluent certes les travaux lourds, on ne voit pas qu'elles restreindraient de manière significative les activités légères, en tout cas pas dans une mesure qui justifierait un abattement supérieur à 5%. La Cour de céans ne saurait ainsi substituer sa propre appréciation à celle de l'intimée et admettre un taux d'abattement de 20 % comme le soutient la recourante. Il s'ensuit qu'après comparaison des gains, la recourante ne subit pas de perte de gain, de sorte qu'elle n'a pas droit à une rente d'invalidité. La décision querellée n'est pas critiquable.</w:t>
      </w:r>
    </w:p>
    <w:p>
      <w:r>
        <w:rPr>
          <w:b/>
        </w:rPr>
        <w:t>E. 12</w:t>
      </w:r>
    </w:p>
    <w:p>
      <w:r>
        <w:t>Mal fondé, le recours est rejeté. Pour le surplus, la procédure est gratuite (art. 61 let. a LPGA). PAR CES MOTIFS, LA CHAMBRE DES ASSURANCES SOCIALES :</w:t>
      </w:r>
    </w:p>
    <w:p>
      <w:r>
        <w:t>A/388/2020 - 12/12 -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