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ATAS/281/2018 vom 3. April 2018</w:t>
      </w:r>
    </w:p>
    <w:p>
      <w:r>
        <w:t>GE Cour de justice, 2018-04-03, FR</w:t>
      </w:r>
    </w:p>
    <w:p>
      <w:r>
        <w:rPr>
          <w:b/>
        </w:rPr>
        <w:t xml:space="preserve">Quelle: </w:t>
      </w:r>
      <w:r>
        <w:t>https://mcp.opencaselaw.ch/entscheid/ge_gerichte_ATAS_281_2018</w:t>
      </w:r>
    </w:p>
    <w:p>
      <w:r>
        <w:t>FR: GE_GERICHTE ATAS/281/2018 du 3 avril 2018</w:t>
      </w:r>
    </w:p>
    <w:p>
      <w:r>
        <w:t>IT: GE_GERICHTE ATAS/281/2018 del 3 aprile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l’espèce, la décision attaquée – qui circonscrit l’objet de la contestation – maintient le droit de l’assuré à une demi-rente d’invalidité d’août 2012 à mars 2015 et lui accorde une rente entière dès le mois d’avril 2015. Elle ne se prononce en revanche pas sur son droit à une rente pour la période antérieure au 1er août 2012. Partant, le litige ne porte que sur le droit du recourant à une rente entière plutôt qu’à une demi-rente, pour la période courant du 1er août 2012 au 31 mars 2015. En revanche, il n’appartient pas à la chambre de céans d’examiner si le recourant pourrait prétendre à une rente entière d’invalidité avant le mois d’août 2012, dès lors que cette question ne fait pas l’objet de la décision attaquée et partant, excède l’objet du litige.</w:t>
      </w:r>
    </w:p>
    <w:p>
      <w:r>
        <w:t>A/1329/2017 - 16/24 -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A/1329/2017 - 17/24 -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En vertu de l’art. 88a al. 2 du règlement du 17 janvier 1961 sur l’assurance- invalidité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w:t>
      </w:r>
    </w:p>
    <w:p>
      <w:r>
        <w:rPr>
          <w:b/>
        </w:rPr>
        <w:t>E. 8</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w:t>
      </w:r>
    </w:p>
    <w:p>
      <w:r>
        <w:t>A/1329/2017 - 18/24 -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w:t>
      </w:r>
    </w:p>
    <w:p>
      <w:r>
        <w:t>A/1329/2017 - 19/24 -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11</w:t>
      </w:r>
    </w:p>
    <w:p>
      <w:r>
        <w:t>a. À titre liminaire, il convient de rappeler que, dans sa décision sur opposition du 3 avril 2006, l’OAI avait réduit la rente entière d’invalidité octroyée à l’assuré, en la remplaçant par une demi-rente. Par arrêt du 27 février 2007 (ATAS/215/2007), le TCAS avait confirmé cette décision par substitution de motifs, constatant que la décision initiale d’octroi d’une rente entière était erronée dès lors que seule une incapacité de travail de 50% aurait dû être retenue. Se fondant sur les expertises des Drs D______ et C______, la juridiction cantonale avait retenu une capacité résiduelle de travail de 50% depuis 1997 dans toute activité adaptée. b. Dans sa décision du 30 juin 2014, l’OAI a maintenu le droit de l’assuré à une demi-rente d’invalidité sur la base d’un rapport d’expertise rhumatologique établi par le Dr S______. Après avoir retenu, entre autres, les diagnostics de discopathies L4-L5 et L5-S1, d’arthrose facettaire L5-S1, de protrusion discale paramédiane gauche L2-L3, de hernie discale C3-C4 droite, d’arthrose du carpe gauche et de syndrome fémoro-patellaire modéré bilatéral, cet expert a retenu une capacité résiduelle de travail de 50% dès le 1er août 2012 dans toute activité adaptée aux limitations fonctionnelles de l’assuré. c. Dans son arrêt du 14 mars 2016 (ATAS/207/2016), la chambre de céans a annulé la décision du 30 juin 2014 et renvoyé la cause à l’administration pour qu’elle complète l’instruction. Elle a relevé que l’expertise du Dr S______ examinait de manière circonstanciée les points litigieux, se fondait sur des examens complets, prenait en considération les plaintes du recourant et avait été établie en pleine</w:t>
      </w:r>
    </w:p>
    <w:p>
      <w:r>
        <w:t>A/1329/2017 - 20/24 - connaissance de l’anamnèse. La description du contexte médical était par ailleurs claire. Cependant, l’expert avait omis de motiver le taux d’incapacité de travail retenu, de sorte qu’il y avait lieu de renvoyer la cause à l’administration pour qu’elle invite l’expert à le faire. À l’occasion de ce complément d’instruction, il appartiendrait à l’OAI de prendre en considération les nouvelles atteintes diagnostiquées postérieurement à la décision du 30 juin 2014 et d’examiner l’opportunité de mettre en œuvre une expertise psychiatrique. Pour le reste, la chambre de céans a écarté les critiques formulées contre l’expertise par le recourant et son médecin traitant, ressortant notamment du rapport que ce praticien avait établi le 31 juillet 2014 (cf. ATAS/207/2016 consid. 11b). d. Suite à ce renvoi, l’OAI a invité l’expert S______ à exposer les éléments sur lesquels il s’était fondé pour retenir une capacité de travail de 50% dans une activité adaptée, ce que ce dernier a fait dans un rapport du 20 juillet 2016. Par ailleurs, l’administration a invité les médecins consultés par l’assuré à lui transmettre de nouveaux rapports. Sur la base des documents obtenus, le SMR a conclu, dans un avis du 24 janvier 2017 que l’état de santé de l’assuré s’était péjoré depuis le mois de janvier 2015, c’est-à-dire depuis la première des deux interventions chirurgicales qu’il avait alors subies au niveau lombaire. Malgré ces opérations, les lombosciatalgies avaient perduré et en 2016, elles s’étaient accompagnées d’un déficit moteur L5, de troubles de la marche et d’une diminution de la force du membre inférieur gauche. Une lésion transfixiante de la coiffe des rotateurs avait encore compliqué la situation et enfin, le Dr AB______ avait fait état d’un épuisement des ressources psychiques. Le SMR en a tiré la conclusion que l’assuré n’était plus capable d’exercer la moindre activité professionnelle depuis le mois de janvier 2015. Il a par ailleurs jugé qu’une expertise psychiatrique était inutile.</w:t>
      </w:r>
    </w:p>
    <w:p>
      <w:r>
        <w:rPr>
          <w:b/>
        </w:rPr>
        <w:t>E. 12</w:t>
      </w:r>
    </w:p>
    <w:p>
      <w:r>
        <w:t>Dans la décision attaquée, l’OAI retenu une capacité de travail nulle dès le 1er janvier 2015 et accordé à l’assuré une rente entière d’invalidité dès le 1er avril 2015, trois mois après l’aggravation de son état de santé. Pour la période antérieure, d’août 2012 à mars 2015, elle a maintenu son droit à une demi-rente d’invalidité. De son côté, le recourant requiert le versement d’une rente entière d’invalidité dès le 27 février 2010, soit depuis que l’administration lui aurait indiqué que des mesures d’ordre professionnel n’étaient pas opportunes. Il reproche à l’intimé de s’être exclusivement fondé sur les rapports versés au dossier en 2015 et 2016, sans tenir compte des documents antérieurs. Il souligne avoir souffert de problèmes respiratoires depuis 2010 et ajoute que depuis 2012, il a subi de nombreuses infiltrations dorsales et cervicales et a perdu 90% de la vue avec son œil gauche. Il ne peut au demeurant pas prendre la plupart des antalgiques, car il ne dispose plus que d’un seul rein.</w:t>
      </w:r>
    </w:p>
    <w:p>
      <w:r>
        <w:rPr>
          <w:b/>
        </w:rPr>
        <w:t>E. 13</w:t>
      </w:r>
    </w:p>
    <w:p>
      <w:r>
        <w:t>a. D’emblée, il convient de rappeler que dans la mesure où la décision attaquée ne statue pas sur le droit du recourant à une rente d’invalidité pour la période antérieure au 1er août 2012, cette question excède l’objet du litige et n’a pas à être</w:t>
      </w:r>
    </w:p>
    <w:p>
      <w:r>
        <w:t>A/1329/2017 - 21/24 - tranchée dans le cadre du présent arrêt (cf. supra consid. 4). On se limitera à observer que contrairement à ce que semble considérer le recourant, le fait que l’administration ait renoncé à mettre en œuvre des mesures professionnelles en 2010 (parce qu’il s’y opposait), ne saurait justifier l’octroi d’une rente entière d’invalidité dès le mois de février 2010. b. S’agissant de la période courant dès le 1er août 2012, la chambre de céans constate que l’expert S______ a dûment exposé les motifs pour lesquels il avait reconnu à l’assuré, depuis lors, une capacité résiduelle de travail de 50% dans toute activité adaptée. Il a précisé que cette évaluation reposait tant sur les constatations cliniques ressortant de son examen médical que sur son observation de l’assuré. À cet égard, il a relevé que l’intéressé avait été capable de rester assis pendant près de septante minutes, de se dévêtir puis de se vêtir seul, mais également de se déplacer sans boiterie. La mobilité de ses hanches était conservée, malgré l’existence d’un léger syndrome rachidien cervical et lombaire. L’assuré avait en outre pu marcher sans difficultés sur la pointe des pieds et sur les talons, même si l’examen neurologique avait mis en évidence des troubles sensitifs du membre supérieur, respectivement du membre inférieur gauche. Selon l’expert, l’examen clinique avait mis en évidence une légère aggravation depuis l’expertise du CEMed de 2009, notamment au niveau du rachis cervical et lombaire, mais pas de répercussions fonctionnelles majeures au niveau de la main gauche, des genoux et de la hanche gauche. C’était sur la base de ces constatations objectives qu’il avait chiffré la capacité de travail à 50% dans une activité adaptée aux limitations fonctionnelles, telle que celle de télésurveillance, étant précisé que ce taux tenait déjà compte du rendement diminué de l’assuré. À la lumière des explications complémentaires qu’il a données, force est d’admettre que l’expert S______ a motivé à satisfaction de droit ses conclusions sur la capacité résiduelle de travail de l’assuré dans une activité adaptée. Elles coïncident au demeurant avec celles du médecin-traitant de l’assuré, lequel avait également attesté, dans son rapport du 1er octobre 2012, une capacité de travail de 50% dans toute activité adaptée. Pour le reste, l’expertise du Dr S______ répond aux autres réquisits jurisprudentiels relatifs à la valeur probante de rapports médicaux, comme la chambre de céans l’a déjà relevé dans son arrêt antérieur (ATAS/207/2016 du</w:t>
      </w:r>
    </w:p>
    <w:p>
      <w:r>
        <w:rPr>
          <w:b/>
        </w:rPr>
        <w:t>E. 14</w:t>
      </w:r>
    </w:p>
    <w:p>
      <w:r>
        <w:t>En définitive, la décision attaquée ne prête pas le flanc à la critique en tant qu’elle maintient le droit de l’assuré à une demi-rente d’invalidité du 1er août 2012 au 31 mars 2015, puis lui accorde une rente entière dès le 1er avril 2015. Mal fondé, le recours est rejeté.</w:t>
      </w:r>
    </w:p>
    <w:p>
      <w:r>
        <w:rPr>
          <w:b/>
        </w:rPr>
        <w:t>E. 15</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 bis LAI).</w:t>
      </w:r>
    </w:p>
    <w:p>
      <w:r>
        <w:t>A/1329/2017 - 23/24 -</w:t>
      </w:r>
    </w:p>
    <w:p>
      <w:r>
        <w:t>***</w:t>
      </w:r>
    </w:p>
    <w:p>
      <w:r>
        <w:t>A/1329/2017 - 24/24 -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