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ATAS/281/2014 vom 11. März 2014</w:t>
      </w:r>
    </w:p>
    <w:p>
      <w:r>
        <w:t>GE Cour de justice, 2014-03-11, FR</w:t>
      </w:r>
    </w:p>
    <w:p>
      <w:r>
        <w:rPr>
          <w:b/>
        </w:rPr>
        <w:t xml:space="preserve">Quelle: </w:t>
      </w:r>
      <w:r>
        <w:t>https://mcp.opencaselaw.ch/entscheid/ge_gerichte_ATAS_281_2014</w:t>
      </w:r>
    </w:p>
    <w:p>
      <w:r>
        <w:t>FR: GE_GERICHTE ATAS/281/2014 du 11 mars 2014</w:t>
      </w:r>
    </w:p>
    <w:p>
      <w:r>
        <w:t>IT: GE_GERICHTE ATAS/281/2014 del 11 marzo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La partie qui s’oppose à la reconnaissance et à l’exécution est entendue dans la procédure; elle peut y faire valoir ses moyens (art. 29 al. 2 LDIP). Enfin, lorsqu’une décision étrangère est invoquée à titre préalable, l’autorité saisie peut statuer elle- même sur la reconnaissance (art. 20 al. 3 LDIP). En l'occurrence, les demandeurs ont produit le jugement de divorce rendu le 5 septembre 2013 par le Tribunal de grande instance de Thonon-les-Bains, ainsi que copie des actes d'acquiescement signé par les parties le 12 septembre 2013. Ledit jugement est en conséquence devenu définitif à la date de son prononcé. La requête en reconnaissance, exéquatur et partage des avoirs LPP déposée par les demandeurs est ainsi recevable.</w:t>
      </w:r>
    </w:p>
    <w:p>
      <w:r>
        <w:rPr>
          <w:b/>
        </w:rPr>
        <w:t>E. 3</w:t>
      </w:r>
    </w:p>
    <w:p>
      <w:r>
        <w:t>a) Il appartient à la Cour de céans de statuer, à titre préjudiciel, sur la reconnaissance d'un jugement de divorce rendu en France (cf. art. 29 al. 3 LDIP; ATF du 8 juin 2005, en la cause 6 S.438/2004; cf. également SJ 2002 II p. 397 et ss.). La reconnaissance de jugements de divorce étrangers est régie par les art. 25 à 27 de la loi fédérale du 18 décembre 1987 sur le droit international privé (LDIP). Selon l'art. 25 LDIP, une décision étrangère est reconnue en Suisse, si la compétence des autorités judiciaires ou administratives de l’Etat dans lequel la décision a été rendue était donnée (let. a), si la décision n’est plus susceptible de</w:t>
      </w:r>
    </w:p>
    <w:p>
      <w:r>
        <w:t>A/3817/2013 5/9 recours ordinaire ou si elle est définitive (let. b) et s’il n’y a pas de motif de refus au sens de l’art. 27 (let. c). b) L'art. 27 LDIP précise que la reconnaissance d’une décision étrangère doit être refusée en Suisse si elle est manifestement incompatible avec l’ordre public suisse. La reconnaissance d’une décision doit également être refusée si une partie établit qu’elle n’a été citée régulièrement, ni selon le droit de son domicile, ni selon le droit de sa résidence habituelle, à moins qu’elle n’ait procédé au fond sans faire de réserve (a), que la décision a été rendue en violation de principes fondamentaux ressortissant à la conception suisse du droit de procédure, notamment que ladite partie n’a pas eu la possibilité de faire valoir ses moyens (b), qu’un litige entre les mêmes parties et sur le même objet a déjà été introduit en Suisse ou y a déjà été jugé, ou qu’il a précédemment été jugé dans un Etat tiers, pour autant que cette dernière décision remplisse les conditions de sa reconnaissance (c). Au surplus, la décision étrangère ne peut faire l’objet d’une révision au fond. c) La reconnaissance d'une décision relative à la prévoyance professionnelle doit être compatible avec l'ordre public suisse (art. 27 al. 1 LDIP).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ATF 5C.24/2000).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4</w:t>
      </w:r>
    </w:p>
    <w:p>
      <w:r>
        <w:t>a) Selon l'art. 22 LFLP (nouvelle teneur en vigueur depuis le 1er janvier 2000),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(al. 1) et que lorsque les conjoints ont des créances réciproques, seule la différence entre ces deux créances doit être partagée (al. 2). Les prestations de sortie acquises durant le mariage sont partagées conformément aux art. 122, 123, 141 et 142 CC; les art. 3 à 5 LFLP s'appliquent par analogie au montant à transférer. Pour chaque</w:t>
      </w:r>
    </w:p>
    <w:p>
      <w:r>
        <w:t>A/3817/2013 6/9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b) En l'espèce, le juge du divorce a homologué la convention définitive portant règlement des effets du divorce, laquelle prévoit que les époux partageront par moitié la prestation de sortie accumulée par le demandeur jusqu’au 1er janvier 2013. On peut donc en conclure que les époux ont entendu faire application de l'art. 122 CC, à savoir fixer le principe et les proportions du partage, ce que le juge a entériné. Cette clé de répartition apparaît conforme à l'art. 122 CC, notamment lorsque l'un des époux ne dispose plus de prestation de libre passage en raison d'un retrait effectué lors du départ à l'étranger. Par conséquent, il y a lieu de reconnaître le jugement de divorce français.</w:t>
      </w:r>
    </w:p>
    <w:p>
      <w:r>
        <w:rPr>
          <w:b/>
        </w:rPr>
        <w:t>E. 5</w:t>
      </w:r>
    </w:p>
    <w:p>
      <w:r>
        <w:t>a) 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b) En revanche, le calcul détaillé des prestations et le partage seront effectués en Suisse par le tribunal des assurances compétent au sens de l'art. 73 LPP (cf. art. 142 al. 2 CC). Ces considérations ne sont toutefois valables que si l'application directe</w:t>
      </w:r>
    </w:p>
    <w:p>
      <w:r>
        <w:t>A/3817/2013 7/9 de l'art. 122 CC par le tribunal étranger était possible. C'est notamment le cas lorsqu'un seul des deux époux a exercé une activité lucrative et est assuré auprès d'une institution suisse de prévoyance professionnelle (Le partage des avoirs de prévoyance en Suisse en relation avec des jugements de divorce étrangers, prise de position de l'Office fédéral de la justice du 28 mars 2001, SJ 2002 II, p. 397-402). c) En l'espèce, les dates pertinentes sont, d’une part, celle du mariage, le 20 février 1988, d’autre part le 1er janvier 2013, conformément à la convention conclue. Il y a lieu à cet égard de rappeler que selon les art. 122 CC et 22 LFLP, les avoirs à partager sont ceux qui ont été accumulés par chacun des époux durant le mariage, soit jusqu'au divorce. Au surplus, l'application directe de l'art. 122 CCS était possible en l'espèce, de sorte qu'une attestation de faisabilité n'était pas nécessaire. Cela étant, l'institution de prévoyance concernée n'a pas contesté le caractère réalisable du partage, aucun cas de prévoyance n'étant réalisé pour l'un ou l'autre des ex-époux, qui n'ont ni atteint l'âge de la retraite ni été mis au bénéfice d'une rente d'invalidité. Par conséquent, il y a lieu d'exécuter le partage de l'avoir accumulé par le demandeur durant le mariage soit CHF 54'975,50. La Cour de céans ordonnera en conséquence le transfert de la moitié de ce montant, soit CHF 27'488,- en faveur de la demanderesse.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La demanderesse étant domiciliée en France, reste à déterminer si le montant qui lui est dû peut lui être versé en espèces ou s'il doit l'être sur un compte de libre passage ouvert auprès d'une institution de prévoyance suisse. a) Lorsqu'un jugement étranger portant sur le partage de la prévoyance est reconnu en Suisse, les conditions du paiement en espèces sont soumises à l'art. 5 LFLP. Le conjoint ayant droit peut exiger le paiement en espèces s'il remplit l'une des conditions prévues par cette disposition (ATF 130 III 336 consid. 2.6; Com. LPP et LFLP, n° 49 ad art. 5 et 61 ad art. 22 LFLP). Selon l'art. 5 de la loi fédérale sur le libre passage dans la prévoyance professionnelle vieillesse, survivants et invalidité (LFLP, 831.42), dans sa teneur en vigueur jusqu'au 31 décembre 2004, l’assuré peut exiger le paiement en espèces de la prestation de sortie, notamment, lorsqu’il quitte définitivement la Suisse. b) L'Accord sur la libre circulation des personnes conclu le 21 juin 1999, entré en vigueur le 1er juin 2002 (ALCP; RS 0.142.112.681) prévoit que les parties</w:t>
      </w:r>
    </w:p>
    <w:p>
      <w:r>
        <w:t>A/3817/2013 8/9 contractantes règlent, conformément à l’annexe II, la coordination des systèmes de sécurité sociale (art. 8 ALCP et annexe II). Le règlement CEE n° 1408/71 du 14 juin 1971 (RS 0.831.109.268.1), adapté selon l’annexe II à l'ALCP, a introduit une restriction au versement en espèces de la prestation de libre passage en cas de cessation d'assujettissement en Suisse (art. 5 al. 1 let. a LFLP) et a interdit le versement en espèces lorsque l'assuré qui quitte la Suisse est assujetti à l'assurance obligatoire d'un Etat membre de l'UE ou de l'AELE (art. 10 al. 2). Il en résulte que la partie obligatoire de la prestation de sortie doit être déposée sur une police ou sur un compte de libre passage (cf. sur ce point, le Bulletin de la prévoyance professionnelle n°96 du 18 décembre 2006). Seuls les ex- époux n'ayant jamais eu de lien avec la Suisse pouvaient donc se voir sans autre verser l'avoir en espèces car ils ne tombaient alors pas sous le coup de l'art. 10 du règlement 1408/07, lequel ne s'appliquait qu'en cas de "cessation d'assujettissement". c) Selon l'art. 25f al. 1 let. a LFLP, entré en vigueur le 1er juin 2007 à l'échéance du délai transitoire de 5 ans dès l'entrée en vigueur de l'ALCP, le paiement en espèce ne peut être exigé lorsque l'assuré continue à être obligatoirement assuré contre les risques vieillesse, décès et invalidité selon les dispositions d'un Etat membre de la CE. Selon l'OFAS, c'est la date du départ définitif de Suisse qui détermine la réglementation applicable au versement en espèces (Office fédéral des assurances sociales, Bulletin de la prévoyance professionnelle n°96 du 18 décembre 2006, n° 567). Cette opinion est partagée par Roland MÜLLER, qui expose : "étant donné que l'Accord sur la libre circulation des personnes et l'Accord révisé sont entrés en vigueur le 1er juin 2002, le paiement en espèces n'est plus possible depuis le 1er juin 2007 […] concernant la date d'échéance du délai transitoire – et donc la question du droit au paiement en espèces – c'est la date du départ définitif de la Suisse qui est déterminante et non celle du dépôt de la demande de versement" (MÜLLER et al., Commentaire LPP et LFLP, n° 34 ad art. 25f LFLP). d) En l'espèce, la demanderesse a quitté définitivement la Suisse en 2002, avant l'entrée en vigueur de l'art. 25f al. 1 let. a LFLP, de sorte cette disposition ne lui est pas applicable. Comme elle remplit les conditions de l'ancien art. 5 LFLP, en vigueur au moment de son départ définitif de la Suisse, elle a droit au paiement en espèces du montant qui lui est dû.</w:t>
      </w:r>
    </w:p>
    <w:p>
      <w:r>
        <w:rPr>
          <w:b/>
        </w:rPr>
        <w:t>E. 8</w:t>
      </w:r>
    </w:p>
    <w:p>
      <w:r>
        <w:t>Aucun émolument ne sera perçu, la procédure étant gratuite (art. 73 al. 2 LPP et 89H al. 1 de la loi sur la procédure administrative du 12 septembre 1985). ***</w:t>
      </w:r>
    </w:p>
    <w:p>
      <w:r>
        <w:t>A/3817/2013 9/9</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