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ATAS/280/2015 vom 16. April 2015</w:t>
      </w:r>
    </w:p>
    <w:p>
      <w:r>
        <w:t>GE Cour de justice, 2015-04-16, FR</w:t>
      </w:r>
    </w:p>
    <w:p>
      <w:r>
        <w:rPr>
          <w:b/>
        </w:rPr>
        <w:t xml:space="preserve">Quelle: </w:t>
      </w:r>
      <w:r>
        <w:t>https://mcp.opencaselaw.ch/entscheid/ge_gerichte_ATAS_280_2015</w:t>
      </w:r>
    </w:p>
    <w:p>
      <w:r>
        <w:t>FR: GE_GERICHTE ATAS/280/2015 du 16 avril 2015</w:t>
      </w:r>
    </w:p>
    <w:p>
      <w:r>
        <w:t>IT: GE_GERICHTE ATAS/280/2015 del 16 aprile 2015</w:t>
      </w:r>
    </w:p>
    <w:p>
      <w:pPr>
        <w:pStyle w:val="Heading2"/>
      </w:pPr>
      <w:r>
        <w:t>Erwägungen</w:t>
      </w:r>
    </w:p>
    <w:p>
      <w:r>
        <w:rPr>
          <w:b/>
        </w:rPr>
        <w:t>E. 1</w:t>
      </w:r>
    </w:p>
    <w:p>
      <w:r>
        <w:t>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t>A/588/2015 - 3/5 - Sa compétence pour juger du cas d’espèce est ainsi établie.</w:t>
      </w:r>
    </w:p>
    <w:p>
      <w:r>
        <w:rPr>
          <w:b/>
        </w:rPr>
        <w:t>E. 2</w:t>
      </w:r>
    </w:p>
    <w:p>
      <w:r>
        <w:t>Le recours, interjeté en temps utile (art. 60 al. 1 LPGA) est également recevable en la forme.</w:t>
      </w:r>
    </w:p>
    <w:p>
      <w:r>
        <w:rPr>
          <w:b/>
        </w:rPr>
        <w:t>E. 3</w:t>
      </w:r>
    </w:p>
    <w:p>
      <w:r>
        <w:t>Le litige porte uniquement sur la question de savoir si des intérêts moratoires sont dus par les recourants à l’intimée.</w:t>
      </w:r>
    </w:p>
    <w:p>
      <w:r>
        <w:rPr>
          <w:b/>
        </w:rPr>
        <w:t>E. 4</w:t>
      </w:r>
    </w:p>
    <w:p>
      <w:r>
        <w:t>a) Selon l’art. 26 al. 1 LPGA, les créances de cotisations échues sont soumises à la perception d’intérêts moratoires. L'art. 41 bis al. 1 let. f RAVS confirme l'obligation, pour les personnes sans activité lucrative, de s'acquitter d’intérêts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Les intérêts moratoires courent du 1er janvier après la fin de l’année civile suivant l’année de cotisation jusqu’à ce que les cotisations soient intégralement payées (art. 41bis al. 1 let. f et al. 2 RAVS). Quant au taux d’intérêt,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b) Les recourants protestent de leur bonne foi et font remarquer qu’aucune faute ne leur est imputable, ce qui n’est d’ailleurs pas contesté. Peu importe pour le surplus de savoir si l’intimée a commis une erreur dans le calcul des acomptes ou si elle a tardé à statuer. Ainsi que l’a souligné l’intimée dans ses décisions,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les intérêts réclamés en cas de retard dans le versement des cotisations sont dus indépendamment de toute sommation, de toute faute de l’affilié et même en dépit de la parfaite bonne foi de ce dernier (ATF 9C_173/2007 ou encore RCC 1992 p. 178 consid. 4b). Au surplus, la caisse ne peut renoncer à une part des intérêts réclamés. Dans un arrêt X. du 21 août 2003 (H 268/02, confirmé dans un arrêt récent H 328/02 du 30 janvier 2004), notre Haute Cour a rappelé que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w:t>
      </w:r>
    </w:p>
    <w:p>
      <w:r>
        <w:t>A/588/2015 - 4/5 - réservée le Conseil fédéral d'autoriser les caisses de compensation à renoncer au prélèvement d'intérêts moratoires dans de telles situations.</w:t>
      </w:r>
    </w:p>
    <w:p>
      <w:r>
        <w:rPr>
          <w:b/>
        </w:rPr>
        <w:t>E. 5</w:t>
      </w:r>
    </w:p>
    <w:p>
      <w:r>
        <w:t>Eu égard aux considérations qui précèdent, le recours ne peut donc qu’être rejeté.</w:t>
      </w:r>
    </w:p>
    <w:p>
      <w:r>
        <w:t>A/588/2015 - 5/5 -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