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ATAS/280/2014 vom 11. März 2014</w:t>
      </w:r>
    </w:p>
    <w:p>
      <w:r>
        <w:t>GE Cour de justice, 2014-03-11, FR</w:t>
      </w:r>
    </w:p>
    <w:p>
      <w:r>
        <w:rPr>
          <w:b/>
        </w:rPr>
        <w:t xml:space="preserve">Quelle: </w:t>
      </w:r>
      <w:r>
        <w:t>https://mcp.opencaselaw.ch/entscheid/ge_gerichte_ATAS_280_2014</w:t>
      </w:r>
    </w:p>
    <w:p>
      <w:r>
        <w:t>FR: GE_GERICHTE ATAS/280/2014 du 11 mars 2014</w:t>
      </w:r>
    </w:p>
    <w:p>
      <w:r>
        <w:t>IT: GE_GERICHTE ATAS/280/2014 del 11 marzo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t>A/3551/2013 - 6/12 -</w:t>
      </w:r>
    </w:p>
    <w:p>
      <w:r>
        <w:rPr>
          <w:b/>
        </w:rPr>
        <w:t>E. 5</w:t>
      </w:r>
    </w:p>
    <w:p>
      <w:r>
        <w:t>Le litige porte sur le droit de l'assurée a des prestations de l'assurance-invalidité, en particulier sur sa capacité de travail et ménagère.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w:t>
      </w:r>
    </w:p>
    <w:p>
      <w:r>
        <w:t>A/3551/2013 - 7/12 -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t>A/3551/2013 - 8/12 -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w:t>
      </w:r>
    </w:p>
    <w:p>
      <w:r>
        <w:t>A/3551/2013 - 9/12 -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w:t>
      </w:r>
    </w:p>
    <w:p>
      <w:r>
        <w:rPr>
          <w:b/>
        </w:rPr>
        <w:t>E. 9</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b)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w:t>
      </w:r>
    </w:p>
    <w:p>
      <w:r>
        <w:t>A/3551/2013 - 10/12 -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11</w:t>
      </w:r>
    </w:p>
    <w:p>
      <w:r>
        <w:t>En l'espèce, l’OAI s’est fondé sur le rapport d’expertise de la Dresse Q_________, rhumatologue, pour refuser toute prestation à l’assurée, au motif qu’elle ne présente aucune pathologie invalidante du point de vue rhumatologique. L’assurée, pour sa part, ne remet pas en cause la valeur probante de l’expertise de la Dresse Q_________, sur le plan rhumatologique, mais fait valoir que, dans la mesure où un trouble somatoforme a été retenu, il convenait de procéder à une expertise psychiatrique, dès lors que le médecin-traitant retenait un état dépressif. L’OAI admet que c’est par erreur qu’il a omis de procéder à une expertise psychiatrique, après avoir reçu les conclusions de la Dresse Q_________, dès lors que le SMR suggérait une telle expertise, si un trouble somatoforme était confirmé. Il est en effet nécessaire de procéder à un examen de l’état psychique de l’assurée, afin de déterminer si, conformément aux critères de la jurisprudence, elle est atteinte d’une affection invalidante. Il se justifie à cet égard de renvoyer la cause à l’OAI pour procéder à ce complément d’instruction médicale, compte tenu du fait que, par la même occasion, l’OAI devra éclaircir deux points. D’une part, la Dresse Q_________ retient une</w:t>
      </w:r>
    </w:p>
    <w:p>
      <w:r>
        <w:t>A/3551/2013 - 11/12 - diminution de rendement de 20% dans l’activité ménagère (question 2.4), mais aucune diminution de rendement dans une activité lucrative (question 3.4), ce qui est paradoxal, l’activité ménagère pouvant par définition être exercée à un rythme ralenti, en répartissant les activités au gré de l’état de fatigue et des douleurs, ce qui n’est pas le cas d’une activité lucrative. D’autre part, bien que l’assurée ait toujours, par choix, été femme au foyer, tant dans son pays d’origine qu’en Suisse, l’OAI doit éclaircir son statut, suite à la séparation d’avec son époux En effet, la question de son activité sans atteinte à la santé ne lui a pas été posée et le dossier ne contient pas d’indication quant à ses moyens d'existence (contribution à son entretien de l'ex-mari, assistance de l’Hospice général), de sorte que l'on ne sait pas si elle aurait été contrainte d’exercer une activité suite à cette séparation, sans atteinte à la santé. Finalement, et si le complément d’instruction médicale parvenait à la conclusion d’un trouble somatoforme invalidant, en raison d’une comorbidité psychiatrique ou de la présence d’autres critères, voire à un trouble rhumatologique objectivé, l’OAI devra alors examiner les limitations de l’assurée dans son activité ménagère, le cas échéant dans une activité lucrative. Au demeurant, l’assurée ne s'oppose pas à juste titre au renvoi de la cause pour instruction complémentaire.</w:t>
      </w:r>
    </w:p>
    <w:p>
      <w:r>
        <w:rPr>
          <w:b/>
        </w:rPr>
        <w:t>E. 12</w:t>
      </w:r>
    </w:p>
    <w:p>
      <w:r>
        <w:t>Au vu de ce qui précède, le recours sera partiellement admis et la décision du 7 octobre 2013 sera annulée, la cause étant renvoyée pour instruction complémentaire et nouvelle décision. La recourante obtenant partiellement gain de cause, une indemnité de 1'500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w:t>
      </w:r>
    </w:p>
    <w:p>
      <w:r>
        <w:t>A/3551/2013 - 12/12 -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