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ATAS/27/2026 vom 19. Januar 2026</w:t>
      </w:r>
    </w:p>
    <w:p>
      <w:r>
        <w:t>GE Cour de justice, 2026-01-19, FR</w:t>
      </w:r>
    </w:p>
    <w:p>
      <w:r>
        <w:rPr>
          <w:b/>
        </w:rPr>
        <w:t xml:space="preserve">Quelle: </w:t>
      </w:r>
      <w:r>
        <w:t>https://mcp.opencaselaw.ch/entscheid/ge_gerichte_ATAS_27_2026</w:t>
      </w:r>
    </w:p>
    <w:p>
      <w:r>
        <w:t>FR: GE_GERICHTE ATAS/27/2026 du 19 janvier 2026</w:t>
      </w:r>
    </w:p>
    <w:p>
      <w:r>
        <w:t>IT: GE_GERICHTE ATAS/27/2026 del 19 gennaio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2.1</w:t>
      </w:r>
    </w:p>
    <w:p>
      <w:r>
        <w:t>À teneur de l'art. 1 al. 1 LAA, les dispositions de la LPGA s'appliquent à l'assurance-accidents, à moins que la loi n'y déroge expressément.</w:t>
      </w:r>
    </w:p>
    <w:p>
      <w:r>
        <w:rPr>
          <w:b/>
        </w:rPr>
        <w:t>E. 2.2</w:t>
      </w:r>
    </w:p>
    <w:p>
      <w:r>
        <w:t>Le 1er janvier 2021 est entrée en vigueur la modification du 21 juin 2019 de la LPGA. Dans la mesure où le recours a été interjeté postérieurement au 1er janvier 2021, il est soumis au nouveau droit (art. 82a LPGA a contrario).</w:t>
      </w:r>
    </w:p>
    <w:p>
      <w:r>
        <w:rPr>
          <w:b/>
        </w:rPr>
        <w:t>E. 3</w:t>
      </w:r>
    </w:p>
    <w:p>
      <w:r>
        <w:t>Le litige porte sur le bien-fondé de la décision de la SUVA de mettre un terme à sa prise en charge avec effet au 29 août 2024, plus particulièrement sur l’existence d’un lien de causalité entre l’accident survenu le 8 février 2024 et les lésions au-delà de cette date.</w:t>
      </w:r>
    </w:p>
    <w:p>
      <w:r>
        <w:rPr>
          <w:b/>
        </w:rPr>
        <w:t>E. 4.1</w:t>
      </w:r>
    </w:p>
    <w:p>
      <w:r>
        <w:t>Selon l'art. 6 al. 1 LAA, les prestations d'assurance sont allouées en cas d'accident professionnel, d'accident non professionnel et de maladie</w:t>
      </w:r>
    </w:p>
    <w:p>
      <w:r>
        <w:t>A/1904/2025 - 10/20 -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w:t>
      </w:r>
    </w:p>
    <w:p>
      <w:r>
        <w:rPr>
          <w:b/>
        </w:rPr>
        <w:t>E. 4.2</w:t>
      </w:r>
    </w:p>
    <w:p>
      <w:r>
        <w:t>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4.3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A/1904/2025 - 11/20 -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5.1</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5.2</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5.3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w:t>
      </w:r>
    </w:p>
    <w:p>
      <w:r>
        <w:t>A/1904/2025 - 12/20 - sociales (ATF 129 V 177 consid. 3.1), étant précisé que le fardeau de la preuve de la disparition du lien de causalité appartient à la partie qui invoque la suppression du droit (ATF 146 V 51 consid. 5.1 ; arrêt du Tribunal fédéral 8C_331/2024 du 29 novembre 2024 consid. 4.2).</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w:t>
      </w:r>
    </w:p>
    <w:p>
      <w:r>
        <w:rPr>
          <w:b/>
        </w:rPr>
        <w:t>E. 7</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A/1904/2025 - 13/20 -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8.4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A/1904/2025 - 14/20 - violation du principe mentionné (arrêt du Tribunal fédéral 9C_973/2011 du 4 mai 2012 consid. 3.2.1).</w:t>
      </w:r>
    </w:p>
    <w:p>
      <w:r>
        <w:rPr>
          <w:b/>
        </w:rPr>
        <w:t>E. 8.6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w:t>
      </w:r>
    </w:p>
    <w:p>
      <w:r>
        <w:t>A/1904/2025 - 15/20 - appréciation des preuves, d'établir un état de fait qui correspond, au degré de la vraisemblance prépondérante, à la réalité (ATF 139 V 176 consid. 5.2 et les références).</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12</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13</w:t>
      </w:r>
    </w:p>
    <w:p>
      <w:r>
        <w:t>En l’espèce, l’intimée a admis devoir prendre en charge les suites de l’accident du 8 février 2024 conformément à la LAA. Cela étant, elle a mis fin aux prestations d’assurance au 29 août 2024. Dans la décision sur opposition entreprise, elle a confirmé la fin de ses prestations à cette date, s’appuyant sur l’expertise effectuée par le Dr J______, lequel a considéré que l’accident du 8 février 2024 avait cessé de déployer ses effets au plus tard le 8 mai 2024 s’agissant des atteintes aux épaules et aux genoux droit et gauche, et au plus tard le 8 avril 2024 pour les atteintes aux deux poignets. Le recourant conteste l’appréciation du Dr J______ selon laquelle son état de santé serait stabilisé, soutenant continuer à souffrir de douleurs et de limitations</w:t>
      </w:r>
    </w:p>
    <w:p>
      <w:r>
        <w:t>A/1904/2025 - 16/20 - fonctionnelles liées à l’accident. Il se réfère à cet égard à deux rapports du Dr G______ des 23 septembre 2024 et 17 avril 2025.</w:t>
      </w:r>
    </w:p>
    <w:p>
      <w:r>
        <w:rPr>
          <w:b/>
        </w:rPr>
        <w:t>E. 13.1</w:t>
      </w:r>
    </w:p>
    <w:p>
      <w:r>
        <w:t>Il convient ainsi d’examiner la valeur probante du rapport d’expertise orthopédique du 10 avril 2025, sur lequel l’intimée a fondé la décision entreprise.</w:t>
      </w:r>
    </w:p>
    <w:p>
      <w:r>
        <w:rPr>
          <w:b/>
        </w:rPr>
        <w:t>E. 13.1.1</w:t>
      </w:r>
    </w:p>
    <w:p>
      <w:r>
        <w:t>À titre liminaire, la chambre de céans observe que, sur le plan formel, le rapport d’expertise orthopédique du Dr J______ du 10 avril 2025 satisfait aux réquisits jurisprudentiels pour se voir reconnaître une pleine valeur probante. En effet, ce rapport, établi par un spécialiste indépendant, contient un résumé des différents rapports médicaux du dossier du recourant, une anamnèse, un résumé de ses plaintes, un status orthopédique détaillé et des diagnostics clairs, fondés sur une analyse du dossier et l’examen physique du recourant. Les conclusions de l’expert sont en outre claires, exemptes de contradictions, bien argumentées et apportent des réponses cohérentes aux questions que l’intimée lui a soumises, ainsi qu’aux questions formulées directement par le recourant.</w:t>
      </w:r>
    </w:p>
    <w:p>
      <w:r>
        <w:rPr>
          <w:b/>
        </w:rPr>
        <w:t>E. 13.1.2</w:t>
      </w:r>
    </w:p>
    <w:p>
      <w:r>
        <w:t>Sur le fond, l’expert a considéré que les diagnostics en lien de causalité avec l’événement du 8 février 2024 étaient une contusion de l’épaule droite et gauche, une entorse bénigne radio-carpienne droite et gauche ainsi qu’une contusion des genoux droit et gauche. Il a retenu, comme diagnostics sans lien de causalité avec ledit événement, des pieds plats de stade I des deux côtés, une méniscopathie interne et externe dégénérative du genou gauche, un status post plastie du ligament croisé antérieur droit en 2005 avec échec de plastie et développement d’une arthrose fémoro-tibiale interne débutante à modérée, une tendinopathie dégénérative de la coiffe des rotateurs droite et gauche, une attitude scoliotique levo-convexe thoraco-lombaire, avec courbure compensatrice, une arthrose trapézo-métacarpienne droite débutante et une épicondylite du coude gauche. S’agissant des événements précédents, l’expert a retenu comme diagnostics en lien de causalité avec l’événement du 18 septembre 2018 une déchirure du LCA gauche avec un status post plastie dudit ligament croisé et, en lien de causalité avec l’événement du 21 juillet 2022, un status post entorse de grade 2 du ligament latéral externe de la cheville droite et une contusion du genou droit. L’expert a enfin retenu que l’état de santé du recourant à la suite de l’accident du 8 février 2024 s’était stabilisé au plus tard le 8 mai 2024 s’agissant des atteintes aux épaules et aux genoux droit et gauche, et au plus tard le 8 avril 2024 pour les atteintes aux deux poignets. Contestant les conclusions de l’expert sur ce point, le recourant soutient, en se fondant sur les rapports du Dr G______ des 23 septembre 2024 et 17 avril 2025, qu’il souffrirait encore de douleurs et limitations fonctionnelles liées à l’accident. Il allègue également que l’opération de son genou gauche prévue en mai 2025 confirmerait la persistance des séquelles de l’accident.</w:t>
      </w:r>
    </w:p>
    <w:p>
      <w:r>
        <w:t>A/1904/2025 - 17/20 - Dans le rapport du 23 septembre 2024, le Dr G______ a noté, s’agissant du genou droit du recourant, qu’il y avait des signes de chondropathie fémoro tibiale interne ainsi qu’une méniscopathie médiale déjà présente sur les précédentes IRM, de sorte qu’il s’agit selon lui plutôt d’une dégradation arthrosique. Sur ce point, son avis rejoint parfaitement celui de l’expert mandaté par l’intimée. Concernant le genou gauche, le Dr G______ a considéré qu’il existait une méniscopathie fissuraire relativement vaste, au ménisque interne, qui n’était selon lui pas présente sur les données préopératoires de 2019 lors de la reconstruction de son LCA et que, pour le surplus, il n’y avait pas eu de majoration des lésions du ménisque latéral qui n’étaient que partielles et non-transfixiantes en 2019. Dans son rapport du 17 avril 2025, le Dr G______ réitère qu’il n’y avait selon lui, en 2019, pas de lésion méniscale interne arthroscopique, alors que l’IRM de 2024 mettait en évidence une lésion méniscale externe notée comme fissuraire, laquelle pouvait expliquer les gênes actuelles. Pourtant, dans le cadre de son mandat d’expertise, le Dr J______ a attentivement examiné la première IRM du genou gauche du recourant, effectuée le 3 janvier 2019, et constaté la présence d’une méniscopathie interne dégénérative avec lésion de type horizontal ainsi qu’une méniscopathie externe avec extrusion partielle du ménisque externe. Examinant la seconde IRM du même genou, datant du 8 octobre 2020, le Dr J______ a noté la même méniscopathie interne dégénérative, avec fissuration horizontale, précisant qu’elle était d’allure strictement superposable par rapport à l’imagerie de 2019. Il a précisé qu’il ne s’agissait pas d’une lésion méniscale interne aiguë, ce qui était selon lui cohérent avec les constatations opératoires du Dr G______ du 18 mars 2019, celui-ci ayant pratiqué une reconstruction du LCA, sans trouver de lésion méniscale interne réparable. Il ressort également de la synthèse du dossier figurant dans le rapport d’expertise que le ménisque interne présentait déjà des fissures avant l’événement de 2024. En effet, à teneur d’un rapport d’IRM du genou gauche du 8 octobre 2020, il existait des fissures des cornes postérieures du ménisque médial et latéral, lesquelles, selon le radiologue, existaient déjà sur le précédent examen. Ces fissurations ont également été relevées par le médecin traitant de l’assuré dans un rapport médical du 4 décembre 2020. Ainsi, contrairement à ce que soutient le Dr G______, il existait déjà une atteinte méniscale interne en 2019, comme cela ressort clairement des constatations de l’expert et du dossier. En ce qui concerne l’état du genou gauche du recourant en 2024, les deux médecins ont relevé la présence d’une lésion méniscale. Cela étant, le Dr G______ ne soutient pas que cette lésion serait en lien de causalité avec l’accident, se contentant d’indiquer qu’elle n’aurait pas été présente</w:t>
      </w:r>
    </w:p>
    <w:p>
      <w:r>
        <w:t>A/1904/2025 - 18/20 - en 2019, ce qui, comme susmentionné, est contredit par l’analyse du Dr J______ et par les pièces du dossier. Contrairement au Dr G______, l’expert a procédé à une analyse dudit lien de causalité après avoir constaté, à l’examen de l’IRM du genou gauche réalisée en 2024, une progression de l’atteinte méniscale interne depuis les examens de 2019. L’expert a rappelé que le recourant était obèse avec un BMI à 37 et un genu varum bilatéral, et que la première IRM de 2019 ne révélait pas d’atteinte méniscale traumatique, puisqu’il s’agissait d’une méniscopathie interne dégénérative avec une lésion horizontale. Il a relevé que cette plastie du LCA gauche était parfaitement fonctionnelle, qu’il n’y avait pas d’instabilité résiduelle et que la plastie était parfaitement positionnée. Ainsi, au vu de ces circonstances, il a conclu, au degré de la vraisemblance prépondérante, que l’évolution de ce ménisque interne respectait l’évolution naturelle de cette méniscopathie interne et que tant l’événement de 2024 que l’événement de 2018 avec cette plastie du ligament croisé antérieur n’avaient pas influé sur son évolution. Par ailleurs, répondant aux questions du recourant, qui demandait notamment si une lésion méniscale pouvait apparaître sans traumatisme récent, l’expert a expliqué que les lésions horizontales étaient des lésions de cisaillement chronique par usure, classique chez un patient présentant une obésité et un genu varum. Il a également expliqué que la douleur au niveau du mur méniscal interne gauche, relevée par le chirurgien du recourant, était compatible avec une lésion chronique. Les explications et conclusions de l’expert sont ainsi claires, dûment motivées et ne prêtent pas le flanc à la critique. Il découle de ce qui précède que le recourant n’a pas apporté d’éléments de nature à faire douter de la valeur probante du rapport d’expertise sur lequel s’est fondée l’intimée dans la décision querellée, rapport dont les conclusions sont dûment motivées. Dans ces circonstances, force est de constater que l’expertise est convaincante et qu’aucun élément ne justifie de s’en écarter. Ses conclusions doivent ainsi se voir reconnaître pleine valeur probante. Partant, la mise en œuvre d'une expertise judiciaire n'apparaît pas nécessaire, de sorte qu'il n'y sera pas donné suite par appréciation anticipée des preuves (ATF 122 II 464 consid. 4a).</w:t>
      </w:r>
    </w:p>
    <w:p>
      <w:r>
        <w:rPr>
          <w:b/>
        </w:rPr>
        <w:t>E. 13.1.3</w:t>
      </w:r>
    </w:p>
    <w:p>
      <w:r>
        <w:t>À toutes fins utiles, il convient de relever que le recourant n’a produit aucune pièce visant à remettre en cause les conclusions de l’expert au sujet de ses atteintes aux épaules et aux poignets. Dans son recours, le recourant n’invoque pas qu’il souffrirait encore à ce niveau et il s’est uniquement référé aux rapports du Dr G______ des 23 septembre 2024 et 17 avril 2025 pour justifier la prétendue persistance de douleurs et limitations fonctionnelles liées à l’accident. Or, lesdits rapports ne se prononcent que sur les atteintes aux genoux du recourant.</w:t>
      </w:r>
    </w:p>
    <w:p>
      <w:r>
        <w:t>A/1904/2025 - 19/20 -</w:t>
      </w:r>
    </w:p>
    <w:p>
      <w:r>
        <w:rPr>
          <w:b/>
        </w:rPr>
        <w:t>E. 13.1.4</w:t>
      </w:r>
    </w:p>
    <w:p>
      <w:r>
        <w:t>Au vu de ce qui précède, c’est à bon droit que l’intimée a considéré que l’accident du 8 février 2024 avait cessé de déployer ses effets au plus tard le 8 mai 2024 s’agissant des atteintes aux épaules et aux genoux droit et gauche, et au plus tard le 8 avril 2024 pour les atteintes aux deux poignets, et qu’elle a ainsi confirmé la fin aux prestations d’assurance au 29 août 2024, date de sa décision initiale.</w:t>
      </w:r>
    </w:p>
    <w:p>
      <w:r>
        <w:rPr>
          <w:b/>
        </w:rPr>
        <w:t>E. 14</w:t>
      </w:r>
    </w:p>
    <w:p>
      <w:r>
        <w:t>Mal fondé, le recours est rejeté. Pour le surplus, la procédure est gratuite (art. 61 let. fbis LPGA a contrario).</w:t>
      </w:r>
    </w:p>
    <w:p>
      <w:r>
        <w:t>A/1904/2025 - 20/20 -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