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ATAS/27/2020 vom 26. Februar 2016</w:t>
      </w:r>
    </w:p>
    <w:p>
      <w:r>
        <w:t>GE Cour de justice, 2016-02-26, FR</w:t>
      </w:r>
    </w:p>
    <w:p>
      <w:r>
        <w:rPr>
          <w:b/>
        </w:rPr>
        <w:t xml:space="preserve">Quelle: </w:t>
      </w:r>
      <w:r>
        <w:t>https://mcp.opencaselaw.ch/entscheid/ge_gerichte_ATAS_27_2020</w:t>
      </w:r>
    </w:p>
    <w:p>
      <w:r>
        <w:t>FR: GE_GERICHTE ATAS/27/2020 du 26 février 2016</w:t>
      </w:r>
    </w:p>
    <w:p>
      <w:r>
        <w:t>IT: GE_GERICHTE ATAS/27/2020 del 26 febbraio 2016</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La demande respecte les conditions de forme prescrites par les art. 64 al. 1 et 65 de la loi sur la procédure administrative du 12 septembre 1985 (LPA - E 5 10). Partant, elle est recevable.</w:t>
      </w:r>
    </w:p>
    <w:p>
      <w:r>
        <w:rPr>
          <w:b/>
        </w:rPr>
        <w:t>E. 3</w:t>
      </w:r>
    </w:p>
    <w:p>
      <w:r>
        <w:t>Le litige porte sur la question de savoir si la pratique médicale du défendeur est constitutive d'une polypragmasie et, dans l'affirmative, si celui-ci est tenu de ce fait de rembourser aux demanderesses la somme de CHF 458'607.- pour l’année statistique 2016, subsidiairement la somme de CHF 327'727.50.</w:t>
      </w:r>
    </w:p>
    <w:p>
      <w:r>
        <w:rPr>
          <w:b/>
        </w:rPr>
        <w:t>E. 4</w:t>
      </w:r>
    </w:p>
    <w:p>
      <w:r>
        <w:t>a.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t>A/2416/2018 - 12/21 - b.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du Tribunal fédéral 9C_21/2016 du 17 novembre 2016 consid. 6.2). c. Selon l’art. 56 al. 2 let. a LAMal ont qualité pour demander la restitution l'assuré ou l'assureur dans le système du tiers garant. Le Tribunal arbitral est en effet également compétent si le débiteur de la rémunération est l'assuré. En pareil cas, l'assureur représente l'assuré au procès à ses frais (art. 89 al. LAMal). Ont également qualité pour demander la restitution les assureurs dans le système du tiers-payant (art. 56 al. 2 let. b LAMal). Selon la jurisprudence en la matière, a qualité pour agir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d. En l'espèce, il résulte des données du Datenpool Jahresdaten Geschäftsjahr 2016 que tous les assureurs-maladie ayant remboursé des prestations aux patients du défendeur font partie des demanderesses. Partant, elles sont habilitées à demander la restitution de l'intégralité de l'éventuel trop perçu. Le défendeur met en cause la valeur probante de ce document. Cependant, aucun élément du dossier ne permet de remettre en cause sa véracité. Par ailleurs, selon la jurisprudence constante du Tribunal de céans, une pleine valeur probante a toujours été reconnue à ce document, en l'absence d'indices contraires (ATAS/209/2018 du 09.03.2018, ATAS/150/2016 du 26.02.2016, ATAS/856/2015 du 13.11.2015).</w:t>
      </w:r>
    </w:p>
    <w:p>
      <w:r>
        <w:rPr>
          <w:b/>
        </w:rPr>
        <w:t>E. 5</w:t>
      </w:r>
    </w:p>
    <w:p>
      <w:r>
        <w:t>Le défendeur invoque préalablement la péremption des prétentions des demanderesses. 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Cette disposition s'applique aux</w:t>
      </w:r>
    </w:p>
    <w:p>
      <w:r>
        <w:t>A/2416/2018 - 13/21 - prétentions en restitution fondées sur l'art. 56 al. 2 LAMal (ATF 133 V 579 p. 582 consid. 4.1). Selon la jurisprudence du Tribunal fédéral, les délais de la disposition précitée constituent des délais de péremption (ATF 142 V 20, consid. 3.2.2 p. 24). Ils ne peuvent dès lors être interrompus (ATF 136 II 187 consid. 6 p. 192). L'expiration de ce délai est empêchée lorsque les assureurs-maladie introduisent une demande, dans le délai d'une année à partir de la connaissance des statistiques, devant l'autorité de conciliation prévue par le droit cantonal ou les conventions tarifaires ou devant le Tribunal arbitral. Le délai commence à courir au moment où les statistiques déterminantes sont portées à la connaissance des assureurs suisses (arrêt du Tribunal fédéral K 124/03 du 16 juin 2004 consid. 5.2). b. En l'espèce, les statistiques RSS de Santésuisse concernant l'année 2016 ont été portées à la connaissance des demanderesses au plus tôt le 17 juillet 2017, date qui correspond à celle de la préparation des données figurant sur ces statistiques. Dans la mesure où la demande a été déposée le 13 juillet 2018, il sied de constater que le délai légal d'une année est respecté. Au demeurant, notre Haute Cour n'a pas considéré comme manifestement inexacte l'appréciation de la péremption sur la base de la date de la préparation des données figurant sur les statistiques-factureurs. Elle a également jugé que la date ressortant de ces statistiques ne pouvait être mise en doute par l'hypothèse suggérant que la date en cause aurait pu être manipulée par Santésuisse, en absence de pièces du dossier permettant d'évoquer sérieusement une telle éventualité, et d'éléments concrets avancés pouvant la rendre vraisemblable (arrêt du Tribunal fédéral 9C_968/2009 du 15 décembre 2010 consid. 2.3; 9C_205/2008 du 19 décembre 2008 consid. 2.2).</w:t>
      </w:r>
    </w:p>
    <w:p>
      <w:r>
        <w:rPr>
          <w:b/>
        </w:rPr>
        <w:t>E. 6</w:t>
      </w:r>
    </w:p>
    <w:p>
      <w:r>
        <w:t>a. Pour établir l’existence d’une polypragmasie (Überarztung), le Tribunal fédéral admet le recours à trois méthodes : la méthode statistique, la méthode analytique ou une combinaison des deux méthodes (arrêt du Tribunal fédéral des assurances K 6/06 du 9 octobre 2006 consid. 4.1;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(arrêts du Tribunal fédéral des assurances op. cit.). b. La méthode statistique ou de comparaison des coûts moyens consiste à comparer les frais moyens causés par la pratique d'un médecin particulier avec ceux causés par la pratique d'autres médecins travaillant dans des conditions semblables (arrêt du Tribunal fédéral des assurances K 6/06 op. cit. consid. 4.2). Cette méthode est concluante et peut servir comme moyen de preuve, si les caractéristiques essentielles des pratiques comparées sont similaires, si le groupe de comparaison compte au moins dix médecins, si la comparaison s'étend sur une période</w:t>
      </w:r>
    </w:p>
    <w:p>
      <w:r>
        <w:t>A/2416/2018 - 14/21 -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w:t>
      </w:r>
    </w:p>
    <w:p>
      <w:r>
        <w:rPr>
          <w:b/>
        </w:rPr>
        <w:t>E. 7</w:t>
      </w:r>
    </w:p>
    <w:p>
      <w:r>
        <w:t>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(arrêt du Tribunal fédéral des assurances K 6/06 op. cit. consid. 4.2;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(arrêt du Tribunal fédéral 9C_260/2010 du 27 décembre 2011 consid. 4.3).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arrêts du Tribunal fédéral 9C_205/2008 du 19 décembre 2008 et 9C_649/2007 du 23 mai 2008; arrêts du Tribunal fédéral des assurances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V. JUNOD, op. cit., p. 140 ss). Enfin,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w:t>
      </w:r>
    </w:p>
    <w:p>
      <w:r>
        <w:t>A/2416/2018 - 15/21 -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Constitue une particularité de la pratique médicale tout caractéristique des prestations qui est plus souvent présent que dans la majorité des cabinets du groupe de comparaison et qui engendre un besoin de prestations plus élevé (arrêt du Tribunal fédéral des assurances K 142/05 du 1er mars 2006).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e. Lors de l'examen de la question de l'économicité, l'indice de l'ensemble des coûts est en principe déterminant (ATF 133 V 37 consid. 5.3). Lorsque ces coûts se situent dans la marge de tolérance de 30, le principe de l'économicité est respecté. Dans la négative, il sied d'examiner si l'indice des coûts directs dépasse la marge de tolérance. Si tel est le cas, une violation de ce principe est présumé. L'obligation de restituer en application de l'art. 56 al. 2 LAMal n'englobe toutefois que les coûts directement liés à la pratique du médecin (y compris les médicaments délivrés par lui; ATF 133 V 43 consid. 2.5.1-2.5.5 p. 47 ss). f.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w:t>
      </w:r>
    </w:p>
    <w:p>
      <w:r>
        <w:rPr>
          <w:b/>
        </w:rPr>
        <w:t>E. 8</w:t>
      </w:r>
    </w:p>
    <w:p>
      <w:r>
        <w:t>a. Le Tribunal établit les faits d'office et apprécie librement les preuves (art. 45 al. 3 LaLAMal).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A/2416/2018 - 16/21 - probables (ATF 130 III 321 consid. 3.2 et 3.3; ATF 126 V 353 consid. 5b; ATF 125 V 193 consid. 2 et les références).</w:t>
      </w:r>
    </w:p>
    <w:p>
      <w:r>
        <w:rPr>
          <w:b/>
        </w:rPr>
        <w:t>E. 9</w:t>
      </w:r>
    </w:p>
    <w:p>
      <w:r>
        <w:t>En l'espèce, le Tribunal admet que la méthode statistique peut a priori constituer un moyen de preuve valable, dès lors que le groupe de comparaison comprend plus de 570 médecins et que la comparaison s'étend sur les années 2012 à 2016, durant lesquelles les indices du défendeur étaient toujours plus élevés que ceux de la moyenne du groupe de comparaison, à l'exception de l'année 2015. Il convient par conséquent de déterminer si la pratique médicale du défendeur présente des particularités permettant de justifier un coût moyen par patient plus élevé.</w:t>
      </w:r>
    </w:p>
    <w:p>
      <w:r>
        <w:rPr>
          <w:b/>
        </w:rPr>
        <w:t>E. 10</w:t>
      </w:r>
    </w:p>
    <w:p>
      <w:r>
        <w:t>Le défendeur estime en premier lieu que la présente procédure n'a pas de raison d'être, dans la mesure où son indice des coûts totaux ne dépasse que d'un point la marge de tolérance de 30 %. Toutefois, comme relevé ci-dessus, la marge de tolérance se situe entre 20 et 30 %. Par ailleurs, dès le moment où une marge de tolérance est admise, même un dépassement minime justifie d'être considéré, à l'instar des dépassements de la vitesse autorisée pour les véhicules à moteur. Il convient par ailleurs de souligner que l'indice des coûts directs du défendeur est de 184 en 2016 selon les statistiques-factureurs. Quant aux coûts indirects, ils sont à peine inférieurs à la moyenne de ces coûts du groupe de comparaison. En effet, ils sont de 99. Cela étant, il y a bel et bien un soupçon de polypragmasie justifiant l'examen de la pratique médicale du défendeur sous l'angle de son économicité.</w:t>
      </w:r>
    </w:p>
    <w:p>
      <w:r>
        <w:rPr>
          <w:b/>
        </w:rPr>
        <w:t>E. 11</w:t>
      </w:r>
    </w:p>
    <w:p>
      <w:r>
        <w:t>Le fait que les assureurs-maladie n'ont jamais contesté les factures du défendeur ne permet pas de considérer qu'ils ont admis que la pratique médicale de ce dernier respecte le principe de l'économicité. En effet, ce n'est que sur la base de l'ensemble des notes d'honoraires qu'il peut être établi si ce principe a été violé.</w:t>
      </w:r>
    </w:p>
    <w:p>
      <w:r>
        <w:rPr>
          <w:b/>
        </w:rPr>
        <w:t>E. 12</w:t>
      </w:r>
    </w:p>
    <w:p>
      <w:r>
        <w:t>a. En ce que le défendeur se prévaut de ses formations complémentaires, il ne démontre pas qu'il effectue de ce fait des prestations plus coûteuses que les médecins de son groupe de comparaison. b. Le défendeur allègue également être médecin formateur et formateur d'apprenti, sans démontrer que cela implique un coût par patient plus élevé. Au demeurant, il a admis lors de son audition que la formation d'assistants n'était pas à la charge de l'assurance obligatoire des soins, et qu'il ne facturait pas la supervision de ses assistants. c. Quant à l'équipement du cabinet du défendeur permettant d'effectuer des prestations médicales supplémentaires par rapport aux autres médecin du groupe de comparaison, il en est tenu compte dans la prise en considération des coûts indirects. En effet, ces prestations diminuent le cas échéant les coûts indirects, dans</w:t>
      </w:r>
    </w:p>
    <w:p>
      <w:r>
        <w:t>A/2416/2018 - 17/21 - la mesure où les patients peuvent être traités directement au cabinet médical et ne doivent pas être envoyés auprès d'autres fournisseurs de prestations. Or, en l'occurrence, les coûts indirects du défendeur ne sont qu'à peine inférieurs à la moyenne de ses consœurs et confrères de sa spécialité, ce qui signifie qu'il fait appel presque aussi souvent que ceux-ci à d'autres fournisseurs de prestations. S'agissant précisément de la radiologie, même en admettant que le défendeur a effectué 477 prestations de radiologie en 2016 et non 294 comme comptabilisé dans la base de données de SASIS SA, ces prestations ne présenteraient qu'à peine 1,04 du total de ses prestations (46'017 points facturés selon SASIS SA), alors que la moyenne de celles-ci est de 2,8% chez ses consœurs et confrères. Partant, l'équipement du défendeur ne peut pas non plus expliquer un coût moyen par patient supérieur à la moyenne. Au demeurant, il n'apparaît pas non plus que l'équipement du défendeur soit exceptionnel, bon nombre de cabinets disposant d'un laboratoire, d'une radiologie et d'une échographie. d. Le défendeur se prévaut également de ce qu'il effectue de la petite chirurgie, ainsi que des opérations dermatologiques et qu'il utilise un laser. Cependant, cette activité paraît minime, dès lors qu'elle ne représente que 0,3 % des positions facturées, correspondant à 136 points facturés, selon les statistiques de SASIS. Certes, le défendeur conteste ce chiffre et allègue avoir effectué 167 interventions, en s'appuyant sur les statistiques de son cabinet. Cependant, même dans cette hypothèse, ces interventions sont peu fréquentes par rapport aux autres prestations effectuées. En effet, par rapport aux 136 points, cela représenterait une augmentation de seulement 18 % et établirait ainsi à 0,35 % l'importance de cette activité par rapport à l'ensemble de celle-ci. e. En ce que le défendeur allègue travailler 15 heures par jour et 6 jours par semaine, cela ne constitue pas une justification d'un coût moyen par patient supérieur à celui de la moyenne du groupe de comparaison. Ce fait a uniquement pour effet d'augmenter le chiffre d'affaires. f. Au même titre, il n'est pas compréhensible en quoi le fait que le défendeur a collaboré avec des assistants augmenterait le coût moyen par patient, à l'exception éventuellement d'une plus grande lenteur, laquelle ne devrait toutefois pas être significative. De surcroît, en tant que médecin formateur, le défendeur est responsable de ce que les assistants respectent la LAMal, notamment le principe de l'économicité. Au demeurant, à suivre le défendeur, il effectue la majeure partie de ses prestations lui-même, au vu du nombre d'heures de travail allégué.</w:t>
      </w:r>
    </w:p>
    <w:p>
      <w:r>
        <w:t>A/2416/2018 - 18/21 - Enfin, les assistants n'ont pas pu être identifiés, le défendeur ayant omis d'indiquer leurs numéros EAN/GLN. Partant, cette allégation n'est pas prouvée. g. Il appert par ailleurs que la moyenne d'âge des patients du défendeur, de 46,4 ans, est inférieure à celle du groupe de comparaison, à savoir 53,6 ans. De ce fait, son coût moyen par patient devrait plutôt être inférieur à celui de ses consœurs et confrères de sa spécialité. h. Il n'est pas établi que le défendeur soigne plus de toxicomanes et sidéens que la moyenne des médecins de son groupe de comparaison. En effet, il résulte du PCG 12, qui répertorie les malades du Sida, que ses patients bénéficient de la même quantité moyenne de Defined Daily Dose que les patients des médecins du groupe de comparaison. En ce qui concerne les toxicomanes, la quantité des médicaments est largement inférieure à celle de ses consœurs et confrères de sa spécialité, selon le PCG 19. Le défendeur objecte qu'il ne prescrit pas beaucoup de médicaments et qu'il préconise d'autres traitements, de sorte que le PCG ne permet pas de déterminer dans son cas qu'il suit beaucoup de patients malades du Sida ou souffrant d'addictions. Il n'en demeure pas moins qu'il n'est pas démontré que le défendeur soigne beaucoup de patients souffrant de telles pathologies, en l'absence de ne serait-ce qu'un début de preuve. Il en va de même pour son allégation selon laquelle il traite beaucoup de patients atteints d'autres maladies lourdes et chroniques. i. Il suit de ce qui précède qu'il n'y a pas de particularités au sens de la jurisprudence en la matière qui expliquent le coût moyen supérieur par patient du défendeur.</w:t>
      </w:r>
    </w:p>
    <w:p>
      <w:r>
        <w:rPr>
          <w:b/>
        </w:rPr>
        <w:t>E. 13</w:t>
      </w:r>
    </w:p>
    <w:p>
      <w:r>
        <w:t>En ce que le défendeur se prévaut de ce que le Tribunal a jugé en 2016 que sa pratique médicale respectait le principe de l'économicité, il sied de relever que cette procédure avait pour objet l'année statistiques 2011 et que, pour cette année, l'indice des coûts totaux des statistiques RSS ne dépassait que de 22 % le coût moyen par patient du groupe de spécialistes en médecine interne générale, auquel le défendeur a été comparé. Or, en 2016, son indice de coûts totaux dépasse largement le coût moyen du groupe de comparaison Le défendeur allègue à cet égard que sa pratique médicale n'a pas évolué entre 2011 et 2016, ce qui est étonnant dès lors que ses indices ont considérablement augmenté. Aux dires du défendeur lui-même, rien ne justifie donc une augmentation de ses indices, sa pratique médicale étant restée identique.</w:t>
      </w:r>
    </w:p>
    <w:p>
      <w:r>
        <w:rPr>
          <w:b/>
        </w:rPr>
        <w:t>E. 14</w:t>
      </w:r>
    </w:p>
    <w:p>
      <w:r>
        <w:t>Les demanderesses relèvent par ailleurs plusieurs particularités de facturation qui ne semblent pas conformes au Tarmed, s'agissant d'un chainage de facturation automatique.</w:t>
      </w:r>
    </w:p>
    <w:p>
      <w:r>
        <w:t>A/2416/2018 - 19/21 - Elles reprochent au défendeur de facturer avec ses consultations systématiquement le petit examen, position Tarmed 00.0410, et aussi presque systématiquement trois fois la position 0.0020, ainsi que, préalablement à chaque consultation, la position en l'absence du patient 00.0140. Le bien-fondé de la facturation de ces prestations peut toutefois rester ouvert, dès lors que les demanderesses ne tirent pas des conclusions supplémentaires de cette facturation éventuellement non conforme. Il n'en demeure pas moins que la facturation automatique de certaines positions Tarmed, en plus de la consultation, pourrait expliquer que le coût moyen par patient du défendeur est plus élevé. Il est à cet égard à relever qu'il paraît vraisemblable que la durée des consultations est surfacturée, au vu du nombre d'heures par jour facturées pour les 18 février et 24 mars 2016, à savoir respectivement 19,5 et 21,75 heures. Même en admettant que les jours en question la moitié des heures a été effectuée par l'assistant du défendeur, leur nombre divisé par deux s'élève toujours à respectivement 9,75 et 10,87 heures par jour. Dès lors qu'il est probable que l'assistant a travaillé moins d'heures que le défendeur, au vu de son salaire mensuel relativement modeste de CHF 6'000.- comme déclaré par le défendeur lors de son audition, la durée de travail du défendeur paraît excessive, même dans l'hypothèse où il était secondé par un assistant, ce d'autant plus qu'il consulte également dans la structure Similia Medica. En tout état de cause, il n'est pas établi qu'un assistant a également effectué des prestations aux dates précitées, ni leur nombre.</w:t>
      </w:r>
    </w:p>
    <w:p>
      <w:r>
        <w:rPr>
          <w:b/>
        </w:rPr>
        <w:t>E. 15</w:t>
      </w:r>
    </w:p>
    <w:p>
      <w:r>
        <w:t>Les coûts élevés par patient du défendeur ne pouvant être justifiés par ses particularités, se pose la question de savoir sur la base de quelle méthode statistique la somme à restituer doit être déterminée. Selon l'art. 56 al. 6 LAMal, entré en vigueur le 1er janvier 2013, les fournisseurs de prestations et les assureurs conviennent d’une méthode visant à contrôler le caractère économique des prestations. La disposition transitoire relative à cette modification prescrit que le Conseil fédéral fixe pour les fournisseurs de prestations visés à l’art. 35 al. 2 let. a LAMal la méthode visant à contrôler le caractère économique des prestations, si les assureurs et les fournisseurs de prestations ne sont pas convenus d’une méthode dans un délai de 12 mois suivant l’entrée en vigueur de la présente modification. Le 27 décembre2013/16 janvier 2014, les fournisseurs de prestations, par l'intermédiaire de la Fédération des médecins suisses (FMH), et les assureurs- maladie, représentés par Santésuisse et Curafutura, ont conclu un accord, aux termes duquel le contrôle de l'économicité de la pratique médicale est effectué sur la base de la méthode ANOVA. Le Tribunal fédéral a jugé que cet accord n'était pas contraire à la loi. Partant, il y a lieu de se fonder sur la méthode ANOVA pour établir le trop-perçu des prestations.</w:t>
      </w:r>
    </w:p>
    <w:p>
      <w:r>
        <w:t>A/2416/2018 - 20/21 -</w:t>
      </w:r>
    </w:p>
    <w:p>
      <w:r>
        <w:rPr>
          <w:b/>
        </w:rPr>
        <w:t>E. 16</w:t>
      </w:r>
    </w:p>
    <w:p>
      <w:r>
        <w:t>Sur la base de cette méthode statistique, il appert que l'indice des coûts directs du défendeur en 2016 est de 221 points et dépasse ainsi de 91 points le seuil de la marge de tolérance de 130. Compte tenu d'un chiffre d'affaires de CHF 1'113'759.- en 2016, les prestations dépassant cette marge s'élèvent à CHF 458'607.- (1'113'759 : 221 x 91).</w:t>
      </w:r>
    </w:p>
    <w:p>
      <w:r>
        <w:rPr>
          <w:b/>
        </w:rPr>
        <w:t>E. 17</w:t>
      </w:r>
    </w:p>
    <w:p>
      <w:r>
        <w:t>Au vu de ce qui précède, la demande sera entièrement admise et le défendeur condamné au paiement aux demanderesses, prises conjointement et solidairement, de CHF 458'607.-.</w:t>
      </w:r>
    </w:p>
    <w:p>
      <w:r>
        <w:rPr>
          <w:b/>
        </w:rPr>
        <w:t>E. 18</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 l'occurrence, la totalité de l'émolument de justice de CHF 3'000.- et les frais du Tribunal de céans de CHF 5'033.75 seront mis intégralement à la charge du défendeur.</w:t>
      </w:r>
    </w:p>
    <w:p>
      <w:r>
        <w:rPr>
          <w:b/>
        </w:rPr>
        <w:t>E. 19</w:t>
      </w:r>
    </w:p>
    <w:p>
      <w:r>
        <w:t>Le défendeur qui succombe sera en outre condamné à verser aux demanderesses, prises conjointement et solidairement, la somme de CHF 5'000.- à titre de dépens.</w:t>
      </w:r>
    </w:p>
    <w:p>
      <w:r>
        <w:t>A/2416/2018 - 21/21 -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