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ATAS/27/2019 vom 17. Januar 2019</w:t>
      </w:r>
    </w:p>
    <w:p>
      <w:r>
        <w:t>GE Cour de justice, 2019-01-17, FR</w:t>
      </w:r>
    </w:p>
    <w:p>
      <w:r>
        <w:rPr>
          <w:b/>
        </w:rPr>
        <w:t xml:space="preserve">Quelle: </w:t>
      </w:r>
      <w:r>
        <w:t>https://mcp.opencaselaw.ch/entscheid/ge_gerichte_ATAS_27_2019</w:t>
      </w:r>
    </w:p>
    <w:p>
      <w:r>
        <w:t>FR: GE_GERICHTE ATAS/27/2019 du 17 janvier 2019</w:t>
      </w:r>
    </w:p>
    <w:p>
      <w:r>
        <w:t>IT: GE_GERICHTE ATAS/27/2019 del 17 gennaio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entre le 7ème jour avant Pâques et le 7ème jour après Pâques inclusivement (art. 38 al. 4 let. a et 56 ss LPGA).</w:t>
      </w:r>
    </w:p>
    <w:p>
      <w:r>
        <w:rPr>
          <w:b/>
        </w:rPr>
        <w:t>E. 3</w:t>
      </w:r>
    </w:p>
    <w:p>
      <w:r>
        <w:t>En l’occurrence, la recourante conclut implicitement à l'octroi d’une rente d’invalidité et de mesures d'ordre professionnel, dès lors qu'elle demande l'annulation de la décision et le renvoi pour instruction notamment sur son état de santé et nouvelle décision sur le droit à une rente et les mesures professionnelles. Est par conséquent litigieuse la question de savoir si la recourante peut bénéficier de ces prestations, question qui dépend en particulier de son statut.</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A/1562/2018 - 8/13 -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6</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A/1562/2018 - 9/13 - sociales, un principe selon lequel l’administration ou le juge devrait statuer, dans le doute, en faveur de l’assuré (ATF 126 V 319 consid. 5a).</w:t>
      </w:r>
    </w:p>
    <w:p>
      <w:r>
        <w:rPr>
          <w:b/>
        </w:rPr>
        <w:t>E. 8</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a. En l’occurrence, la recourante indique avoir travaillé à 100% au Portugal, avant d’être arrivée en Suisse en août 2009. Même si cet allégué n’est pas documenté, cela paraît vraisemblable. En effet, la recourante est née en 1985 et s’est mariée le 31 juillet 2009, soit avant de venir en Suisse. Elle avait ainsi besoin d’exercer une activité lucrative pour subvenir à ses besoins. Après son entrée en Suisse, elle allègue avoir dû apprendre le français dans un premier temps et avoir ensuite fait des ménages privés, activité qui n’était pas déclarée. Ce fait est confirmé par quelques-uns de ses ex-employeurs dans le cadre de l'instruction de la cause. Quant au taux d'activité, elle déclare à la chambre de</w:t>
      </w:r>
    </w:p>
    <w:p>
      <w:r>
        <w:t>A/1562/2018 - 10/13 - céans dans un premier temps avoir travaillé entre sept et huit heures par jour entre 2010 et 2012, avant sa grossesse, puis elle indique avoir travaillé à presque à 50%. Toutefois, elle affirme avoir souffert de crises de rhumatismes depuis son arrivée en Suisse en 2009 et avoir été suivie par la Dresse G______. Après la naissance de son enfant, la recourante n’a plus repris d’activité professionnelle. Néanmoins, elle fait valoir qu’elle aurait travaillé, en bonne santé, en raison des faibles revenus de son mari et du fait que sa fille est aujourd’hui scolarisée. Dans son recours, elle précise qu’elle travaillerait au moins pendant les heures de scolarité de sa fille, à raison de 75 %. Lors de son audition par la chambre de céans, elle indique qu’elle aurait continué à travailler à 100 % en 2013, si elle avait été en bonne santé, pour des raisons financières. Toutefois, après la naissance de son enfant elle n’avait pas pu reprendre le travail à cause des douleurs. Enfin, la recourante affirme chercher activement du travail à 50% et s'être inscrite récemment au chômage dont les prestations lui ont été toutefois refusées. b. La fille de la recourante étant née le ______ 2013, elle a été scolarisée en septembre 2017. Par ailleurs, il ressort de la décision concernant la subvention de logement personnalisée de l’office cantonal du logement et de la planification foncière du 16 mars 2018, produite par la recourante, que le revenu annuel brut de son époux est de CHF 59'368.-. Pour la recourante, un revenu de CHF 1'604.- est enregistré. Il ne ressort pas de ce document en quelle année ses revenus ont été réalisés. Selon toute vraisemblance, il doit s’agir de 2016. Il convient ainsi de constater que les revenus du conjoint de la recourante sont modestes. Par ailleurs, celle-ci a également réalisé de faibles revenus en 2016 selon le document précité, ce qui démontre une volonté de travailler. L'intimé estime qu'il n'est pas vraisemblable que la recourante aurait travaillé si elle était en bonne santé, la maladie ne s'étant déclarée qu'en février 2015, selon ses médecins. Cela est contesté par la recourante. Elle affirme en effet avoir souffert de crises de rhumatismes depuis son arrivée en Suisse. Il est vrai que la Dresse D______ date le début de la maladie intestinale à 2015. Toutefois, ce médecin ne suit la recourante que depuis novembre 2014. Au demeurant, elle a demandé dès la 1ère consultation des analyses détaillées, de sorte qu'il est à supposer que la recourante l'avait précisément consultée en raison de maladies déjà présentes. Par ailleurs, la Dresse D______ indique, dans son rapport du 22 décembre 2016, que sa patiente était suivie auparavant par la Dresse G______ qui est également une rhumatologue. Dans le rapport relatif à un examen ultrasonographique fonctionnel du 21 janvier 2015, il est mentionné que la recourante présente des polyarthralgies évoluant depuis deux ans. Le Dr C______ fait état, dans son rapport du 17 février 2015 à la Dresse E______, suite à une coloscopie, que la recourante présente, sur le plan extra-digestif, une polyarthralgie périphérique au niveau des mains, genoux et chevilles depuis de nombreuses</w:t>
      </w:r>
    </w:p>
    <w:p>
      <w:r>
        <w:t>A/1562/2018 - 11/13 - années. Cela confirme les dires de la recourante, selon lesquels elle était en traitement médical déjà avant 2015 à cause de crises de rhumatisme. Il s'avère ainsi que la date de février 2015 correspond uniquement au moment où le diagnostic de la maladie digestive a été posé et que la recourante souffrait déjà auparavant de polyarthralgies. Cela étant, il doit être admis que la recourante n'a pas repris une activité lucrative après son accouchement en raison de ses maladies. Dès lors, il convient de reconnaître qu'elle aurait travaillé au degré de la vraisemblance prépondérante au plus tard au moment de la scolarisation de sa fille en septembre 2017, au vu des éléments exposés ci-dessus (revenu modeste du mari, exercice d'une activité lucrative documenté avant la naissance de son enfant en Suisse). Quant au taux d’occupation, la chambre de céans n'a pas de raison de mettre en doute la déclaration de la recourante, selon laquelle, en bonne santé, elle aurait exercé une activité lucrative à 75 %, à savoir à raison de trente heures par semaine. En effet, un tel horaire est compatible avec les horaires de l’école réparti sur quatre jours, étant précisé que bon nombre d’écoles assurent un accueil des élèves à partir de 8h00 et organisent une prise en charge entre 11h30 et 14h00, ainsi qu’après l’école qui finit à 16h00. À cet égard, il sied de relever qu'il ne se justifie pas de se fonder sur le taux d'activité effectif de la recourante avant la naissance de son enfant en 2013, dès lors qu'elle souffrait de polyarthralgies depuis 2009/2010 et qu'elle n'a pas pu travailler de ce fait à 100 %. En tout état de cause, le taux d'activité n'a pas pu être précisément établi. Partant, un statut mixte avec une activité lucrative à 75 % et des activités habituelles dans le ménage à 25 % doit être retenu à partir de septembre 2017, au degré de la vraisemblance prépondérante.</w:t>
      </w:r>
    </w:p>
    <w:p>
      <w:r>
        <w:rPr>
          <w:b/>
        </w:rPr>
        <w:t>E. 10</w:t>
      </w:r>
    </w:p>
    <w:p>
      <w:r>
        <w:t>Concernant la capacité de travail dans une activité lucrative, la Dresse E______ l'a évaluée à 50% dans une activité adaptée. Les médecins attestent par ailleurs que la recourante ne pourrait plus travailler comme femme de ménage, seul un travail en position assise sans port de lourdes charges étant adapté, ce que l'intimé ne semble pas contester. Cependant, la gastro-entérologue considère que la capacité de travail est de 100% avec une diminution de rendement de 30%. Parallèlement, elle estime toutefois qu'un examen médical complémentaire est à envisager, afin de déterminer la capacité de travail. En tout état de cause, ni les rapports de la Dresse E______ ni ceux de la Dresse C______ n'ont une valeur probante suffisante, au vu de la jurisprudence précitée, pour déterminer la capacité de travail. Dans la mesure où ils ne sont de surcroît pas concordants, il sied de constater que l'instruction sur le plan médical est incomplète. Cela étant, il y a lieu de renvoyer la cause à l'intimé pour compléter l'instruction par une expertise bi-disciplinaire par un rhumatologue et un gastro-entérologue</w:t>
      </w:r>
    </w:p>
    <w:p>
      <w:r>
        <w:t>A/1562/2018 - 12/13 - indépendants, conformément aux conclusions de la recourante. Puis, il appartiendra à l'intimé de statuer sur le droit éventuel à une rente.</w:t>
      </w:r>
    </w:p>
    <w:p>
      <w:r>
        <w:rPr>
          <w:b/>
        </w:rPr>
        <w:t>E. 11</w:t>
      </w:r>
    </w:p>
    <w:p>
      <w:r>
        <w:t>Étant donné que la recourante doit changer d'activité, elle requiert également l'octroi de mesures d'ordre professionnel. Par conséquent, la cause doit aussi être renvoyée à l'intimé afin d'examiner le droit à de telles mesures.</w:t>
      </w:r>
    </w:p>
    <w:p>
      <w:r>
        <w:rPr>
          <w:b/>
        </w:rPr>
        <w:t>E. 12</w:t>
      </w:r>
    </w:p>
    <w:p>
      <w:r>
        <w:t>Au vu de ce qui précède, la décision querellée sera annulée et la cause renvoyée à l’intimé pour compléter l’instruction par une expertise médicale bi-disciplinaire, puis nouvelle décision sur le droit à une rente et à des mesures d'ordre professionnel, notamment une orientation professionnelle, sur la base d’un statut mixte de 75 % d’activité lucrative et de 25 % d’activités habituelles dans le ménage.</w:t>
      </w:r>
    </w:p>
    <w:p>
      <w:r>
        <w:rPr>
          <w:b/>
        </w:rPr>
        <w:t>E. 13</w:t>
      </w:r>
    </w:p>
    <w:p>
      <w:r>
        <w:t>La recourante obtenant gain de cause, une indemnité de CHF 2'500.- lui est octroyée à titre de dépens.</w:t>
      </w:r>
    </w:p>
    <w:p>
      <w:r>
        <w:rPr>
          <w:b/>
        </w:rPr>
        <w:t>E. 14</w:t>
      </w:r>
    </w:p>
    <w:p>
      <w:r>
        <w:t>L’émolument de justice, fixé à CHF 200.-, sera mis à la charge de l’intimé qui succombe.</w:t>
      </w:r>
    </w:p>
    <w:p>
      <w:r>
        <w:t>***</w:t>
      </w:r>
    </w:p>
    <w:p>
      <w:r>
        <w:t>A/1562/2018 - 13/13 -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