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ATAS/279/2015 vom 16. April 2015</w:t>
      </w:r>
    </w:p>
    <w:p>
      <w:r>
        <w:t>GE Cour de justice, 2015-04-16, FR</w:t>
      </w:r>
    </w:p>
    <w:p>
      <w:r>
        <w:rPr>
          <w:b/>
        </w:rPr>
        <w:t xml:space="preserve">Quelle: </w:t>
      </w:r>
      <w:r>
        <w:t>https://mcp.opencaselaw.ch/entscheid/ge_gerichte_ATAS_279_2015</w:t>
      </w:r>
    </w:p>
    <w:p>
      <w:r>
        <w:t>FR: GE_GERICHTE ATAS/279/2015 du 16 avril 2015</w:t>
      </w:r>
    </w:p>
    <w:p>
      <w:r>
        <w:t>IT: GE_GERICHTE ATAS/279/2015 del 16 aprile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t>A/1063/2014 - 5/11 -</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2013. Par conséquent, le droit éventuel aux prestations doit être examiné au regard des dispositions de la LPGA et de la LAI, dans sa teneur en vigueur depuis le 1er janvier 2012 (ATF 130 V 445 et les références, voir également ATF 130 V 329).</w:t>
      </w:r>
    </w:p>
    <w:p>
      <w:r>
        <w:rPr>
          <w:b/>
        </w:rPr>
        <w:t>E. 4</w:t>
      </w:r>
    </w:p>
    <w:p>
      <w:r>
        <w:t>Le délai de recours est de 30 jours. Interjeté dans la forme et le délai prévus par la loi, le recours est recevable (art. 56 à 61 LPGA).</w:t>
      </w:r>
    </w:p>
    <w:p>
      <w:r>
        <w:rPr>
          <w:b/>
        </w:rPr>
        <w:t>E. 5</w:t>
      </w:r>
    </w:p>
    <w:p>
      <w:r>
        <w:t>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En sa qualité d'assureur-maladie de l’enfant, la recourante est directement touchée par la décision querellée et a dès lors qualité pour agir. En effet, si la chambre de céans devait confirmer le refus de l’intimé de prendre en charge l’hospitalisation du</w:t>
      </w:r>
    </w:p>
    <w:p>
      <w:r>
        <w:rPr>
          <w:b/>
        </w:rPr>
        <w:t>E. 6</w:t>
      </w:r>
    </w:p>
    <w:p>
      <w:r>
        <w:t>Le litige porte sur l’obligation de l’intimé de prendre en charge les frais d’hospitalisation du 6 au 13 août 2013 à titre de mesures médicales, singulièrement sur le point de savoir si l’appelée en cause présente une infirmité congénitale.</w:t>
      </w:r>
    </w:p>
    <w:p>
      <w:r>
        <w:rPr>
          <w:b/>
        </w:rPr>
        <w:t>E. 7</w:t>
      </w:r>
    </w:p>
    <w:p>
      <w:r>
        <w:t>a. Il convient en premier lieu d’examiner le grief tiré de la violation du droit d’être entendu.</w:t>
      </w:r>
    </w:p>
    <w:p>
      <w:r>
        <w:t>A/1063/2014 - 6/11 - La recourante reproche à l’intimé d’avoir refusé de prolonger le délai d’opposition puis statué alors qu’elle recueillait des renseignements complémentaires auprès des HUG. Pour sa part, l’intimé soutient que la caisse n’a sollicité aucune prolongation de délai au stade de l’opposition. b. La jurisprudence, rendue sous l’empire de l’art. 4 aCst. et qui s’applique également à l’art. 29 al. 2 Cst. (ATF 129 II 497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 ATF 124 V 180 consid. 1a ; ATF 124 V 372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126 V 130 consid. 2b et les références). c. En l’espèce, la question d’une éventuelle violation du droit d’être entendu peut rester ouverte. En effet, même s’il fallait admettre que le refus de prolonger le délai d’opposition jusqu’à réception des rapports sollicités par la recourante auprès des HUG fût constitutif d’une telle violation, celle-ci a quoi qu’il en soit été réparée, puisque la procédure de recours a permis à la recourante de produire ces rapports et de s’exprimer pleinement à leur sujet. De surcroît, un renvoi du dossier à l’intimé pour ce seul motif ne serait pas justifié au regard du principe d’économie de procédure.</w:t>
      </w:r>
    </w:p>
    <w:p>
      <w:r>
        <w:rPr>
          <w:b/>
        </w:rPr>
        <w:t>E. 8</w:t>
      </w:r>
    </w:p>
    <w:p>
      <w:r>
        <w:t>a. L’art. 13 LAI dispose que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 al. 1 de l’ordonnance du 9 décembre 1985 concernant les infirmités congénitales (OIC; RS 831.232.21), arrêtée conformément à l’art. 3 du règlement du 17 janvier 1961 sur l’assurance-invalidité (RAI ; RS 831.201), précise que la simple prédisposition à une maladie n’est pas réputée infirmité congénitale. Sont réputées infirmités congénitales au sens de l'art. 13 LAI les infirmités présentes à la naissante accomplie de l'enfant (art. 1 al. 1 1ère phrase OIC) et qui figurent dans la liste annexée à l'OIC (art. 1 al. 2 1ère phrase OIC).</w:t>
      </w:r>
    </w:p>
    <w:p>
      <w:r>
        <w:t>A/1063/2014 - 7/11 - b. Le chiffre 497 de l'annexe à l'OIC qualifie d'infirmité congénitale les « sévères troubles respiratoires d'adaptation (par exemple asphyxie, syndrome de détresse respiratoire, apnée), lorsqu'ils sont manifestes au cours des septante-deux premières heures de vie et qu'un traitement intensif est nécessaire ». Selon la pratique administrative consacrée par l'Office fédéral des assurances sociales dans la circulaire sur les mesures médicales de réadaptation de l’assurance- invalidité (ci-après CMRM), sont considérées comme « graves » (sévères) les atteintes qui impliquent la nécessité de mesures spéciales (p.ex. un traitement hospitalier après une naissance à domicile, le traitement dans l'unité de soins intensifs d'une maternité ou d'une clinique infantile après un accouchement à l'hôpital). Un traitement est considéré comme intensif lorsque des frais normaux de séjour d'une accouchée sont nettement dépassés, c'est-à-dire lorsque des mesures particulièrement onéreuses tels que la surveillance permanente par appareils, des contrôles et soins médicaux particulièrement fréquents sont nécessaires. Il y est également précisé que le transfert à titre préventif dans une division hospitalière de néonatologie, sans que ces mesures coûteuses n'aient été nécessaires, ne suffit pas à justifier une infirmité congénitale (ch. 495, 497 - 499 de la CMRM). Cette circulaire précise en outre que l'asphyxie à la naissance peut être prise en charge dans le cadre du chiffre 497 OIC lorsqu'elle atteint un degré de gravité tel que la poursuite du traitement dans un service de néonatologie est nécessaire. En revanche, si l'état du sujet se normalise suite à ce transfert et qu'aucun traitement n'est plus nécessaire, on ne saurait parler d'un trouble d'adaptation respiratoire sévère (ch. 497.1 CMRM). Tous les syndromes de détresse respiratoire du nouveau- né qui nécessitent un traitement particulier dans un service de néonatologie peuvent être admis sous le chiffre 497 OIC s'ils surviennent au cours des septante-deux premières heures de la vie (ch. 497.2 CMRM). C’est le lieu de rappeler que les circulaires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204 consid. 3.2 ; ATF 127 V 57 consid. 3a ; ATF 126 V 64 consid. 4b). En l’occurrence, la pratique ne prête toutefois pas le flanc à la critique. Il sied de rappeler que les mesures médicales ne sont prises en charge qu'en présence d'une infirmité (congénitale), ce qui à son tour présuppose une atteinte d'une certaine durée. L'exigence d'un état de santé du nouveau-né nécessitant des soins continus au-delà de sa sortie de la salle d'accouchement relève du même ordre d'idées (ATAS/535/2007 du 21 mai 2007).</w:t>
      </w:r>
    </w:p>
    <w:p>
      <w:r>
        <w:t>A/1063/2014 - 8/11 - c. Selon le chiffre 325 de l'annexe à l'OIC, doit également être qualifiée d'infirmité congénitale « l’hyperbilirubinémie du nouveau-né de causes diverses, lorsqu'une exsanguino-transfusion a été nécessaire ». La CMRM précise que les injections qui sont utilisées pour bloquer les anticorps anti-rhésus-positif qui, en cas d’incompatibilité rhésus, circulent après le premier accouchement dans le sang d’une mère, ne sont pas à la charge de l’AI, étant donné que l’art. 3 LPGA, art. 13 LAI en corrélation avec le ch. 325 OIC ne donne droit qu’au traitement de l’anémie hémolytique du nouveau-né. Une infirmité congénitale au sens du ch. 325 ne peut être reconnue qu’après une transfusion extra-utérine. Une exsanguino-transfusion est habituellement indiquée lorsque le taux de bilirubine dans le sérum sanguin augmente rapidement au cours des premiers jours de la vie ou lorsqu’il se trouve déjà à plus de 20 mg/dl. L’AI reconnaît la photothérapie comme mesure médicale (art. 2 al. 3 OIC). Elle la rembourse lorsqu’elle s’avère nécessaire au traitement d’une infirmité congénitale figurant dans l’annexe de l’OIC. Elle ne saurait cependant remplacer une exsanguino-transfusion (ch. 325 OIC) si celle-ci est nécessaire. L’application prophylactique d’une photothérapie visant à atténuer l’augmentation du taux de bilirubine n’est pas remboursée par l’AI (ch. 325 CMRM).</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Dans le cas présent, la recourante soutient que l’assurée a souffert de deux atteintes pour lesquelles des mesures médicales de l’assurance-invalidité peuvent être prises en charge : un syndrome de détresse respiratoire ayant nécessité une ventilation mécanique et un ictère, justifiant un suivi clinique (cf. rapport d’examen des HUG du 16 août 2013), affections dont l’intimé estime quant à lui qu’elles ne sont pas suffisamment graves pour justifier une prise en charge de sa part. En l’espèce, il résulte du dossier que l’enfant en cause a souffert, cinq minutes après sa naissance, d’un syndrome de détresse respiratoire qui a nécessité une ventilation mécanique par pression positive continue (CPAP) pendant 30 minutes, dispensée sous la surveillance du chef de clinique. Suite à ce traitement, la situation s’est normalisée du point de vue respiratoire. L’assurée a également présenté un ictère néonatal sur iso-immunisation ABO, lequel a été traité par photothérapie du 7 au 13 août 2013, date de sa sortie de l’hôpital (cf. rapport des HUG du 16 août 2013 ; courrier du Dr C______ du 4 mars 2015).</w:t>
      </w:r>
    </w:p>
    <w:p>
      <w:r>
        <w:t>A/1063/2014 - 9/11 - La chambre de céans constate que si l’enfant a effectivement souffert d’un syndrome de détresse respiratoire, celui-ci n’a pas entraîné de traitement intensif au sens du chiffre 497 OIC, puisqu’il a été soigné uniquement par CPAP pendant 30 minutes, sous la surveillance du chef de clinique. Hormis ce bref traitement, le syndrome de détresse respiratoire n’a pas requis de mesures particulièrement onéreuses, telles qu’une surveillance permanente par des appareils ou des soins et contrôles médicaux particulièrement fréquents. Le trouble respiratoire s’est normalisé rapidement après la naissance et il ne ressort pas du dossier qu’un transfert en unité de soins intensifs ait été nécessaire. Partant, dans la mesure où il n’a pas nécessité de traitement intensif, le syndrome de détresse respiratoire ne peut être qualifié de « sévère » au sens du chiffre 497 OIC (cf. également ATAS 608/2014 du 14 mai 2014, consid. 6). Quant à l’ictère néonatal, il ne justifie pas la prise en charge par l’assurance- invalidité au titre de l’infirmité congénitale prévue au chiffre 325 OIC. Selon le texte légal, la reconnaissance de cette infirmité suppose en effet qu’une exsanguino- transfusion ait été nécessaire. Or, en l’espèce, aucune transfusion n’a été entreprise, puisqu’un traitement de photothérapie s’est révélé suffisant pour soigner l’appelée en cause. La recourante ne prétend pas que l’assurée aurait souffert d’autres infirmités congénitales que celles prévues aux chiffres 325 et 497 OIC. Le Dr C______ n’en signale au demeurant aucune (cf. son rapport du 21 janvier 2014). En l’absence d’infirmité congénitale, c’est à juste titre que l’intimé a refusé de prendre en charge les frais de l’hospitalisation du 6 au 13 août 2013 à titre de mesures médicales.</w:t>
      </w:r>
    </w:p>
    <w:p>
      <w:r>
        <w:rPr>
          <w:b/>
        </w:rPr>
        <w:t>E. 11</w:t>
      </w:r>
    </w:p>
    <w:p>
      <w:r>
        <w:t>La chambre de céans dispose de tous les éléments nécessaires pour statuer sur le droit de l’assurée à des mesures médicales de l’assurance-invalidité. Partant, la conclusion de la recourante tendant au renvoi du dossier à l’OAI pour instruction complémentaire sera rejetée, par appréciation anticipée des preuves. À cet égard, on rappellera que si un justiciable a le droit de faire administrer des preuves essentielles en vertu de la garantie constitutionnelle du droit d'être entendu (ATF 127 V 431 consid. 3a), ce droit n'empêche cependant pas l'autorité de mettre un terme à l'instruction lorsque, comme en l’espèce,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w:t>
      </w:r>
    </w:p>
    <w:p>
      <w:r>
        <w:t>A/1063/2014 - 10/11 -</w:t>
      </w:r>
    </w:p>
    <w:p>
      <w:r>
        <w:rPr>
          <w:b/>
        </w:rPr>
        <w:t>E. 12</w:t>
      </w:r>
    </w:p>
    <w:p>
      <w:r>
        <w:t>Mal fondé, le recours est rejeté. La procédure en matière d’assurance-invalidité n’étant pas gratuite, la recourante supporte l'émolument de CHF 200.- (art. 69 al. 1bis LAI). Il n’y a pas lieu de mettre l’émolument à charge de l’intimé, vu l’instruction succincte mais suffisante de l’OAI et la confirmation de la décision litigieuse.</w:t>
      </w:r>
    </w:p>
    <w:p>
      <w:r>
        <w:t>A/1063/2014 - 11/11 -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