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ATAS/279/2012 vom 14. März 2012</w:t>
      </w:r>
    </w:p>
    <w:p>
      <w:r>
        <w:t>GE Cour de justice, 2012-03-14, FR</w:t>
      </w:r>
    </w:p>
    <w:p>
      <w:r>
        <w:rPr>
          <w:b/>
        </w:rPr>
        <w:t xml:space="preserve">Quelle: </w:t>
      </w:r>
      <w:r>
        <w:t>https://mcp.opencaselaw.ch/entscheid/ge_gerichte_ATAS_279_2012</w:t>
      </w:r>
    </w:p>
    <w:p>
      <w:r>
        <w:t>FR: GE_GERICHTE ATAS/279/2012 du 14 mars 2012</w:t>
      </w:r>
    </w:p>
    <w:p>
      <w:r>
        <w:t>IT: GE_GERICHTE ATAS/279/2012 del 14 marzo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Les dispositions de la LPGA s’appliquent à l’assurance-accidents, à moins que la LAA ne déroge expressément la LPGA (cf. art. 1 al. 1 LAA).</w:t>
      </w:r>
    </w:p>
    <w:p>
      <w:r>
        <w:rPr>
          <w:b/>
        </w:rPr>
        <w:t>E. 3</w:t>
      </w:r>
    </w:p>
    <w:p>
      <w:r>
        <w:t>Interjeté dans les forme et délai prévus par la loi, le recours est recevable (art. 56 et 60 LPGA ; art. 89B loi sur la procédure administrative, du 12 septembre 1985 - LPA ; RS E 5 10).</w:t>
      </w:r>
    </w:p>
    <w:p>
      <w:r>
        <w:rPr>
          <w:b/>
        </w:rPr>
        <w:t>E. 4</w:t>
      </w:r>
    </w:p>
    <w:p>
      <w:r>
        <w:t>Le litige porte sur le fait de savoir si l’intimée est tenue de prendre en charge les suites de l’événement survenu le 25 mai 2011.</w:t>
      </w:r>
    </w:p>
    <w:p>
      <w:r>
        <w:rPr>
          <w:b/>
        </w:rPr>
        <w:t>E. 5</w:t>
      </w:r>
    </w:p>
    <w:p>
      <w:r>
        <w:t>a) L'assurance-accidents est en principe tenue d'allouer ses prestations en cas d'accident professionnel ou non professionnel (art. 6 al.1 LAA). Est réputée accident toute atteinte dommageable, soudaine et involontaire, portée au corps</w:t>
      </w:r>
    </w:p>
    <w:p>
      <w:r>
        <w:t>A/3238/2011 - 6/8 - humain par une cause extérieure extraordinaire qui compromet la santé physique, mentale ou psychique ou qui entraîne la mort (art. 4 LPGA). On rappellera que la notion d'accident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(cf. ATF 129 V 402 consid. 2.1 p. 404 et les références; 122 V 230 consid. 1 p. 232 sv.). b) Aux termes de l'art. 6 al. 2 LAA, le Conseil fédéral peut inclure dans l'assurance- accidents des lésions corporelles qui sont semblables aux conséquences d'un accident. En vertu de cette délégation de compétence, il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du ménisque figurent dans la liste exhaustive de l'art. 9 al. 2 OLAA à la let. c.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La jurisprudence (ATF 129 V 466) a précisé les conditions d'octroi des prestations en cas de lésion corporelle assimilée à un accident. Il a précisé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w:t>
      </w:r>
    </w:p>
    <w:p>
      <w:r>
        <w:t>A/3238/2011 - 7/8 -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6</w:t>
      </w:r>
    </w:p>
    <w:p>
      <w:r>
        <w:t>Il s’agit de déterminer en premier lieu si l’événement subi le 25 mai 2011 est constitutif d’un accident. Lors de son activité d’éducateur de la petite enfance, le recourant s’est blessé en shootant dans un ballon. Il n’a fait état d’aucune chute, glissade ou choc, ni de facteur extérieur qui serait venu interférer dans l’action. De plus, le mouvement n’a pas été effectué de façon non programmée. Il apparaît plutôt que l’action était programmée et qu’elle a été exécutée en toute connaissance de cause. Enfin, le fait de shooter dans un ballon n’est assurément pas un geste manifestement excessif pour un homme jeune, éducateur de formation. L’on ne saurait conclure à la présence d’un facteur extérieur extraordinaire. Par conséquent, c’es à juste titre que l’intimée a refusé de considérer l’événement comme un accident.</w:t>
      </w:r>
    </w:p>
    <w:p>
      <w:r>
        <w:rPr>
          <w:b/>
        </w:rPr>
        <w:t>E. 7</w:t>
      </w:r>
    </w:p>
    <w:p>
      <w:r>
        <w:t>Reste à examiner si le recourant a subi une lésion assimilée à un accident. En l’occurrence, force est de constater que ni les premières constatations du médecin, ni celles objectivées après l’IRM du genou ne permettent de conclure à une lésion au sens de l’art. 9 al. 2 OLAA. En effet, il n’y a aucune déchirure ou rupture partielle du tendon, mais une tendinopathie de la portion proximale du tendon rotulien et une chondropathie rotulienne externe débutantes. Le rapport complémentaire du Dr L__________, établi le 23 septembre 2011, ne contient à cet égard rien de nouveau.</w:t>
      </w:r>
    </w:p>
    <w:p>
      <w:r>
        <w:rPr>
          <w:b/>
        </w:rPr>
        <w:t>E. 8</w:t>
      </w:r>
    </w:p>
    <w:p>
      <w:r>
        <w:t>Au vu de ce qui précède, c’est à bon droit que l’intimée a refusé de prester.</w:t>
      </w:r>
    </w:p>
    <w:p>
      <w:r>
        <w:rPr>
          <w:b/>
        </w:rPr>
        <w:t>E. 9</w:t>
      </w:r>
    </w:p>
    <w:p>
      <w:r>
        <w:t>Mal fondé, le recours doit être rejeté.</w:t>
      </w:r>
    </w:p>
    <w:p>
      <w:r>
        <w:t>A/3238/2011 - 8/8 -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