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ATAS/278/2020 vom 8. April 2020</w:t>
      </w:r>
    </w:p>
    <w:p>
      <w:r>
        <w:t>GE Cour de justice, 2020-04-08, FR</w:t>
      </w:r>
    </w:p>
    <w:p>
      <w:r>
        <w:rPr>
          <w:b/>
        </w:rPr>
        <w:t xml:space="preserve">Quelle: </w:t>
      </w:r>
      <w:r>
        <w:t>https://mcp.opencaselaw.ch/entscheid/ge_gerichte_ATAS_278_2020</w:t>
      </w:r>
    </w:p>
    <w:p>
      <w:r>
        <w:t>FR: GE_GERICHTE ATAS/278/2020 du 8 avril 2020</w:t>
      </w:r>
    </w:p>
    <w:p>
      <w:r>
        <w:t>IT: GE_GERICHTE ATAS/278/2020 del 8 aprile 2020</w:t>
      </w:r>
    </w:p>
    <w:p>
      <w:pPr>
        <w:pStyle w:val="Heading2"/>
      </w:pPr>
      <w:r>
        <w:t>Erwägungen</w:t>
      </w:r>
    </w:p>
    <w:p>
      <w:r>
        <w:rPr>
          <w:b/>
        </w:rPr>
        <w:t>E. 7</w:t>
      </w:r>
    </w:p>
    <w:p>
      <w:r>
        <w:t>Les atteintes à la santé psychique peuvent, comme les atteintes physiques, entraîner une invalidité au sens de l'art. 4 al. 1 LAI en liaison avec l'art. 8 LPGA.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w:t>
      </w:r>
    </w:p>
    <w:p>
      <w:r>
        <w:t>A/4009/2017 - 19/25 -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8</w:t>
      </w:r>
    </w:p>
    <w:p>
      <w:r>
        <w:t>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w:t>
      </w:r>
    </w:p>
    <w:p>
      <w:r>
        <w:t>A/4009/2017 - 20/25 -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9</w:t>
      </w:r>
    </w:p>
    <w:p>
      <w:r>
        <w:t>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w:t>
      </w:r>
    </w:p>
    <w:p>
      <w:r>
        <w:rPr>
          <w:b/>
        </w:rPr>
        <w:t>E. 10</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w:t>
      </w:r>
    </w:p>
    <w:p>
      <w:r>
        <w:t>A/4009/2017 - 21/25 -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w:t>
      </w:r>
    </w:p>
    <w:p>
      <w:r>
        <w:t>A/4009/2017 - 22/25 - 3a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les rapports d’expertise des Drs P______ et O______ sont détaillés et complets et contiennent des conclusions consensuelles. Ils répondent aux réquisits pour se voir reconnaître une pleine valeur probante. b. L’intimé a fait valoir que l’expert-rhumatologue ne pouvait pas conclure à une incapacité totale de travailler du recourant dans toute activité, vu le status et les limitations fonctionnelles retenues en lien avec l’atteinte somatique et en se fondant sur le déconditionnement musculaire de l’assuré. L’intimé n’a ainsi pas tenu compte de l’atteinte psychiatrique du recourant. Or, la capacité de travail de celui-ci ne peut être déterminée en faisant abstraction de cette atteinte. En effet, la spécificité de l’atteinte à la santé du recourant résulte de l’association des atteintes physiques et psychiques. Le déconditionnement global, dans la mesure où il est associé à une kinésiophobie et à un état anxieux, constitue un diagnostic, qui a précisément été retenu par l’expert-rhumatologue. Celui-ci a expliqué que les lombalgies du recourant avaient entraîné une déchéance physique, puis psychologique devant son incapacité à faire face à ses limitations fonctionnelles et à sa douleur et que cette situation avait enfin entraîné une kinésiophobie. L’on se trouve ainsi dans un cas où le déconditionnement peut être pris en compte pour évaluer la capacité de travail. c. L’intimé a encore fait valoir que l’expert ne pouvait pas retenir le diagnostic de trouble de stress post-traumatique, car tous les critères du DSM-5 n’étaient pas remplis. Il faut relever à cet égard, que l’expert a motivé sur près de sept pages le diagnostic de trouble de stress post-traumatique, selon le DSM-5. Il a examiné systématiquement tous les critères du diagnostic et justifié pourquoi il les retenait ou pas. Il en a retenu un grand nombre, mais pas tous. Il ressort clairement du</w:t>
      </w:r>
    </w:p>
    <w:p>
      <w:r>
        <w:t>A/4009/2017 - 23/25 - DSM-5 que tous les critères diagnostiques n’ont pas à être retenus pour que ce diagnostic soit posé. À titre d’exemple, il est mentionné qu’il faut « un ou plusieurs » critères des catégories A et B (p. 320). d. Les conclusions de l’expert-psychiatre sont motivées et n’apparaissent pas fondées que sur des éléments subjectifs, contrairement à ce qu’invoque l’intimé, mais également sur les observations de l’expert lors de ses entretiens avec l’assuré et les pièces du dossier. Dans le cadre d’une expertise, le temps d’observation est relativement court et l’expert a lui-même relevé que cela ne permettait qu’une objectivation partielle des plaintes. Il faut également rappeler que, de manière générale, les maladies psychiques ne peuvent être déterminées ou prouvées que de manière limitée sur la base de critères objectifs, raison pour laquelle le Tribunal fédéral a développé des indicateurs permettant d’établir si l’atteinte à la santé psychique est incapacitante. e. L’intimé a relevé que l’expert avait retenu des troubles de la concentration qu’il n’avait cependant pas objectivés au moment de l’examen clinique. Cela est exact, mais il ne s’agit pas là d’une contradiction ou d’une erreur, car l’expert a expliqué, en page 13 de son rapport, qu’il retenait des problèmes de concentration en se référant à l’anamnèse et l’hétéro-anamnèse, selon lesquelles les difficultés de concentration de l’assuré étaient majeures, avec des difficultés notamment pour tenir ses engagements, comme surveiller ses petits-enfants, tout en précisant que l’assuré avait eu une concentration suffisante pour répondre aux questions et dialoguer durant les entretiens. f. S’agissant des critères développés par le Tribunal fédéral pour apprécier le caractère incapacitant d’une atteinte psychique, ils n’ont pas à être tous remplis pour que ce caractère soit retenu. Il faut les apprécier en fonction de la situation spécifique de l’assuré. En l’occurrence, l’analyse de ces critères par l’expert-psychiatre a été correctement faite et ses conclusions sont convaincantes. S’agissant du déroulement de la journée de l’assuré, l’intimé s’est référé à la description figurant dans le rapport d’expertise du rhumatologue, qui est moins déterminante dans ce contexte que celle figurant dans le rapport psychiatrique. À teneur de celle-ci, l’on ne peut raisonnablement soutenir que le recourant disposait de ressources personnelles préservées, contrairement à ce que soutient l’intimé. Il en ressort en effet que ses activités sont très limitées ainsi que sa vie sociale. Le recourant est dépendant de son épouse pour la plupart des activités de la vie quotidienne et s’il se rend à la mosquée une fois par semaine, il évite de rencontrer des compatriotes afin de ne pas raviver de mauvais souvenirs. Le fait qu’il puisse apprécier encore travailler la terre et regarder des matchs de football à la télévision ne suffit pas à considérer que son atteinte psychique n’est pas invalidante.</w:t>
      </w:r>
    </w:p>
    <w:p>
      <w:r>
        <w:t>A/4009/2017 - 24/25 - g. L’intimé a fait valoir qu’on ne pouvait pas retenir un échec de tout traitement conforme aux règles de l’art, puisque le recourant n’avait eu aucun traitement psychotrope, ni suivi psychiatrique. L’expert a en effet relevé que l’assuré n’avait pas eu de prise en charge spécialisée, alors que cela aurait dû être le cas. Cela ne permet toutefois pas de conclure à un pronostic négatif. En effet, lorsque l’assuré a eu un traitement inapproprié, comme cela a été le cas en l’espèce, l’on ne peut rien en déduire s’agissant du degré de gravité de la pathologie, selon la jurisprudence précitée. L’appréciation des critères développés par le Tribunal fédéral par le SMR, dont le rapport ne peut se voir reconnaître pleine force probante contrairement au rapport de l’expert-psychiatre, ne remet pas sérieusement en cause les conclusions de ce dernier. Les rapports d’expertise des Drs P______ et O______ doivent ainsi se voir reconnaître une pleine force probante.</w:t>
      </w:r>
    </w:p>
    <w:p>
      <w:r>
        <w:rPr>
          <w:b/>
        </w:rPr>
        <w:t>E. 13</w:t>
      </w:r>
    </w:p>
    <w:p>
      <w:r>
        <w:t>Sur la base des conclusions de l’expertise, il sera retenu que le recourant était totalement incapable de travailler dès le 6 avril 2014. Il a ainsi droit à une rente entière d’invalidité dès le 1er avril 2015, soit le 1er jour du mois au cours duquel s’est terminé le délai d’attente d’un an dès le début de l’incapacité de travail durable et de six mois depuis le dépôt de la demande de prestations de l’assurance- invalidité (le 15 octobre 2014).</w:t>
      </w:r>
    </w:p>
    <w:p>
      <w:r>
        <w:rPr>
          <w:b/>
        </w:rPr>
        <w:t>E. 14</w:t>
      </w:r>
    </w:p>
    <w:p>
      <w:r>
        <w:t>Le recours est ainsi admis.</w:t>
      </w:r>
    </w:p>
    <w:p>
      <w:r>
        <w:rPr>
          <w:b/>
        </w:rPr>
        <w:t>E. 15</w:t>
      </w:r>
    </w:p>
    <w:p>
      <w:r>
        <w:t>Le recourant obtenant gain de cause et étant assisté d’un conseil, a droit à des dépens qui seront fixés à CHF 2'500.- (art. 61 let. g LPGA).</w:t>
      </w:r>
    </w:p>
    <w:p>
      <w:r>
        <w:rPr>
          <w:b/>
        </w:rPr>
        <w:t>E. 16</w:t>
      </w:r>
    </w:p>
    <w:p>
      <w:r>
        <w:t>Un émolument de CHF 500.- sera mis à la charge de l'intimé (art. 69 al. 1bis LAI).</w:t>
      </w:r>
    </w:p>
    <w:p>
      <w:r>
        <w:t>A/4009/2017 - 25/25 -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