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ATAS/278/2008 vom 3. März 2008</w:t>
      </w:r>
    </w:p>
    <w:p>
      <w:r>
        <w:t>GE Cour de justice, 2008-03-03, FR</w:t>
      </w:r>
    </w:p>
    <w:p>
      <w:r>
        <w:rPr>
          <w:b/>
        </w:rPr>
        <w:t xml:space="preserve">Quelle: </w:t>
      </w:r>
      <w:r>
        <w:t>https://mcp.opencaselaw.ch/entscheid/ge_gerichte_ATAS_278_2008</w:t>
      </w:r>
    </w:p>
    <w:p>
      <w:r>
        <w:t>FR: GE_GERICHTE ATAS/278/2008 du 3 mars 2008</w:t>
      </w:r>
    </w:p>
    <w:p>
      <w:r>
        <w:t>IT: GE_GERICHTE ATAS/278/2008 del 3 marzo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5 mars 2004. La LPGA s’applique donc au cas d’espèce.</w:t>
      </w:r>
    </w:p>
    <w:p>
      <w:r>
        <w:rPr>
          <w:b/>
        </w:rPr>
        <w:t>E. 3</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w:t>
      </w:r>
    </w:p>
    <w:p>
      <w:r>
        <w:rPr>
          <w:b/>
        </w:rPr>
        <w:t>E. 4</w:t>
      </w:r>
    </w:p>
    <w:p>
      <w:r>
        <w:t>L'objet du litige porte sur le droit du recourant à une rente de l’assurance-invalidité.</w:t>
      </w:r>
    </w:p>
    <w:p>
      <w:r>
        <w:t>A/3882/2007 - 7/13 -</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t>A/3882/2007 - 8/13 -</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w:t>
      </w:r>
    </w:p>
    <w:p>
      <w:r>
        <w:t>A/3882/2007 - 9/13 - contenté d'une telle rémunération de manière durable (cf. AJP 2002 1487; RCC 1992 p. 96 consid. 4a).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A/3882/2007 - 10/13 -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a) En l'espèce, d’un point de vue somatique, l’expertise neurologique des Drs E________ et F________ répond à toutes les exigences jurisprudentielles pour</w:t>
      </w:r>
    </w:p>
    <w:p>
      <w:r>
        <w:t>A/3882/2007 - 11/13 - qu’il lui soit reconnu une pleine valeur probante. Elle est d’ailleurs confirmée par le médecin-traitant du recourant, le Dr B________, lequel relève, le 26 novembre 2007, qu’il n’a pas de critique à faire par rapport à cette expertise et que les investigations médicales effectuées sont bien faites et exhaustives, de telle sorte qu’aucun autre examen médical ne lui paraît nécessaire.</w:t>
      </w:r>
    </w:p>
    <w:p>
      <w:r>
        <w:t>Le recourant se borne à cet égard à relever que l’expertise serait en contradiction avec le constat médical du 5 décembre 2003 faisant suspecter une myopathie diystrophique ou une myotonie dystrophique. Or, le résultat de la biopsie musculaire du 5 décembre 2003 était en possession des experts, lesquels l’ont pris en considération et discuté pour exclure finalement le diagnostic de dystrophie et de maladie de Steinert.</w:t>
      </w:r>
    </w:p>
    <w:p>
      <w:r>
        <w:t>Pleinement convaincante, l’expertise précitée ne peut qu’être confirmée. Il y a lieu en conséquence de conclure que, d’un point de vue neurologique, il n’y a pas de réduction de la capacité de travail du recourant.</w:t>
      </w:r>
    </w:p>
    <w:p>
      <w:r>
        <w:t>b) En revanche, force est de constater que l’instruction médicale est, d’un point de vue psychiatrique, lacunaire. En effet, l’expertise des Drs E________ et F________ relève qu’il existe plusieurs éléments en faveur d’un état dépressif, lequel pourrait entraîner une diminution de la capacité de travail et justifiait qu’un bilan psychiatrique soit effectué. Cette conclusion va dans le même sens que d’autres avis médicaux au dossier, soit celui du Dr C________ du 5 avril 2004, lequel constate une poussée récurrente d’état dépressif et un trouble de l’humeur sévère, celui du Dr B________ du 14 octobre 2005, lequel relève qu’il existe un état dépressif sévère et enfin celui de la Dresse H________ du 7 juillet 2007, confirmé le 7 février 2008, laquelle mentionne que le recourant souffre d’un trouble délirant et qu’une expertise psychiatrique est nécessaire.</w:t>
      </w:r>
    </w:p>
    <w:p>
      <w:r>
        <w:t>On ne saurait ainsi, au vu des avis médicaux susmentionnés, confirmer l’appréciation du Dr G________ du SMR, lequel estime, sans investigation psychiatrique, que l’état dépressif du recourant est uniquement réactionnel à des facteurs psychosociaux.</w:t>
      </w:r>
    </w:p>
    <w:p>
      <w:r>
        <w:t>En conséquence, il incombera à l’intimé de compléter l’instruction médicale en ordonnant une expertise psychiatrique, auprès d’un expert indépendant.</w:t>
      </w:r>
    </w:p>
    <w:p>
      <w:r>
        <w:t>Le recours sera donc partiellement admis, la décision litigieuse annulée et la cause renvoyée à l’intimé pour qu’une expertise psychiatrique soit ordonnée.</w:t>
      </w:r>
    </w:p>
    <w:p>
      <w:r>
        <w:rPr>
          <w:b/>
        </w:rPr>
        <w:t>E. 10</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w:t>
      </w:r>
    </w:p>
    <w:p>
      <w:r>
        <w:t>A/3882/2007 - 12/13 -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sera ainsi mis à la charge de l’intimé (art. 69 al. 1bis LAI).</w:t>
      </w:r>
    </w:p>
    <w:p>
      <w:r>
        <w:t>A/3882/2007 - 13/13 -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