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ATAS/277/2021 vom 30. März 2021</w:t>
      </w:r>
    </w:p>
    <w:p>
      <w:r>
        <w:t>GE Cour de justice, 2021-03-30, FR</w:t>
      </w:r>
    </w:p>
    <w:p>
      <w:r>
        <w:rPr>
          <w:b/>
        </w:rPr>
        <w:t xml:space="preserve">Quelle: </w:t>
      </w:r>
      <w:r>
        <w:t>https://mcp.opencaselaw.ch/entscheid/ge_gerichte_ATAS_277_2021</w:t>
      </w:r>
    </w:p>
    <w:p>
      <w:r>
        <w:t>FR: GE_GERICHTE ATAS/277/2021 du 30 mars 2021</w:t>
      </w:r>
    </w:p>
    <w:p>
      <w:r>
        <w:t>IT: GE_GERICHTE ATAS/277/2021 del 30 marzo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- 10/18-</w:t>
      </w:r>
    </w:p>
    <w:p>
      <w:r>
        <w:t>A/4400/2019 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w:t>
      </w:r>
    </w:p>
    <w:p>
      <w:r>
        <w:t>- 11/18-</w:t>
      </w:r>
    </w:p>
    <w:p>
      <w:r>
        <w:t>A/4400/2019 consid. 2a et b ; arrêt du Tribunal fédéral 9C_721/2014 du 16 juin 2015 consid. 3.1).</w:t>
      </w:r>
    </w:p>
    <w:p>
      <w:r>
        <w:rPr>
          <w:b/>
        </w:rPr>
        <w:t>E. 5</w:t>
      </w:r>
    </w:p>
    <w:p>
      <w:r>
        <w:t>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w:t>
      </w:r>
    </w:p>
    <w:p>
      <w:r>
        <w:t>- 12/18-</w:t>
      </w:r>
    </w:p>
    <w:p>
      <w:r>
        <w:t>A/4400/2019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w:t>
      </w:r>
    </w:p>
    <w:p>
      <w:r>
        <w:t>- 13/18-</w:t>
      </w:r>
    </w:p>
    <w:p>
      <w:r>
        <w:t>A/4400/2019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En l’espèce, l’OAI est entré en matière sur la nouvelle demande de prestations déposée par l’assurée le 17 février 2017. Il s’agit de comparer les faits prévalant au moment de la dernière décision reposant sur un examen matériel du droit à la rente, soit celle du 4 septembre 2006, avec ceux existant lors de la décision litigieuse du 24 octobre 2019.</w:t>
      </w:r>
    </w:p>
    <w:p>
      <w:r>
        <w:t>- 14/18-</w:t>
      </w:r>
    </w:p>
    <w:p>
      <w:r>
        <w:t>A/4400/2019</w:t>
      </w:r>
    </w:p>
    <w:p>
      <w:r>
        <w:rPr>
          <w:b/>
        </w:rPr>
        <w:t>E. 8</w:t>
      </w:r>
    </w:p>
    <w:p>
      <w:r>
        <w:t>a. Le 16 juin 2003, le Dr B______ avait indiqué que l’activité de serveuse exercée jusqu’ici par l’assurée n’était plus exigible en raison de troubles de la marche et de lésions articulaires de la cheville gauche. Il avait précisé que toute activité n’exigeant pas une station debout ou de la marche prolongée, avec certes une diminution du rendement, était toutefois envisageable. Une capacité de huit heures par jour devait être possible si les limitations étaient respectées. En 2004, il avait confirmé que l’assurée était incapable de travailler à 100% comme serveuse dans un restaurant, et souligné qu’il était difficile d’imaginer l’exercice d’une activité adaptée chez un sujet n’ayant aucune formation professionnelle, étant limitée dans ses déplacements et ne disposant pas d’une parfaite motricité de la main gauche. Dans sa décision du 4 septembre 2006, l’OAI avait nié le droit de l’assurée à une rente d’invalidité en 2006. Bien que reconnaissant que la capacité de travail de l’assurée était restreinte dans son ancienne activité de tenancière-serveuse depuis mars 2003, il avait constaté, sur la base du stage d’observation professionnelle qui s’était déroulé du 19 décembre 2005 au 26 mars 2006 qu’elle pouvait se réadapter dans une activité de type tertiaire à plein temps. Il avait également relevé qu’aucun projet de formation n’avait cependant pu être organisé au vu d’un certificat d’incapacité de travail à 50% délivré par son médecin-traitant le 28 février 2006. b. En juillet 2016, le Dr F______ a constaté que l’EEG du 15 juillet 2016 était parfaitement rassurant ne mettant en évidence aucune activité irritative interictale. Il a rappelé qu’il s’agissait d’une patiente ne souffrant plus de crise d’épilepsie depuis plus de vingt ans, sans aucun traitement, avec un status neurologique tout à fait superposable et absence de nouvelle plainte, de sorte qu’il n’y avait aucun argument pour une reprise de traitement. Le Dr E______, le 30 mai 2017, a retenu les diagnostics de tendinite de la coiffe des rotateurs de l’épaule droite et de hernie discale L3-L4. Il n’a toutefois donné aucune précision quant à la capacité de travail de l’assurée. Une mesure d’orientation et d’aide au placement chez G______ a été accordée à l’assurée du 22 juin au 22 décembre 2017. Celle-ci a toutefois présenté un certificat médical d’incapacité de travail délivré par le Dr E______ le 17 juillet 2017. Elle n’a retrouvé sa capacité de travail qu’en septembre 2017, selon rapport du</w:t>
      </w:r>
    </w:p>
    <w:p>
      <w:r>
        <w:rPr>
          <w:b/>
        </w:rPr>
        <w:t>E. 11</w:t>
      </w:r>
    </w:p>
    <w:p>
      <w:r>
        <w:t>Décrire les activités quotidiennes de l'assurée, ainsi qu'une journée- type.</w:t>
      </w:r>
    </w:p>
    <w:p>
      <w:r>
        <w:rPr>
          <w:b/>
        </w:rPr>
        <w:t>E. 12</w:t>
      </w:r>
    </w:p>
    <w:p>
      <w:r>
        <w:t>En ce qui concerne le volet psychiatrique, évaluer les indicateurs standards de gravité selon la jurisprudence en cours.</w:t>
      </w:r>
    </w:p>
    <w:p>
      <w:r>
        <w:rPr>
          <w:b/>
        </w:rPr>
        <w:t>E. 13</w:t>
      </w:r>
    </w:p>
    <w:p>
      <w:r>
        <w:t>Dater la survenance de l’incapacité de travail durable, le cas échéant.</w:t>
      </w:r>
    </w:p>
    <w:p>
      <w:r>
        <w:rPr>
          <w:b/>
        </w:rPr>
        <w:t>E. 14</w:t>
      </w:r>
    </w:p>
    <w:p>
      <w:r>
        <w:t>Indiquer l'évolution du taux d'incapacité de travail, en pourcent, et depuis quand.</w:t>
      </w:r>
    </w:p>
    <w:p>
      <w:r>
        <w:rPr>
          <w:b/>
        </w:rPr>
        <w:t>E. 15</w:t>
      </w:r>
    </w:p>
    <w:p>
      <w:r>
        <w:t>Évaluer l'exigibilité, en pourcent, d'une activité lucrative adaptée et indiquer le domaine d'activité adapté.</w:t>
      </w:r>
    </w:p>
    <w:p>
      <w:r>
        <w:rPr>
          <w:b/>
        </w:rPr>
        <w:t>E. 16</w:t>
      </w:r>
    </w:p>
    <w:p>
      <w:r>
        <w:t>Dire s'il y a une diminution de rendement et la chiffrer.</w:t>
      </w:r>
    </w:p>
    <w:p>
      <w:r>
        <w:rPr>
          <w:b/>
        </w:rPr>
        <w:t>E. 17</w:t>
      </w:r>
    </w:p>
    <w:p>
      <w:r>
        <w:t>Évaluer les chances de succès d’une réadaptation professionnelle.</w:t>
      </w:r>
    </w:p>
    <w:p>
      <w:r>
        <w:t>- 18/18-</w:t>
      </w:r>
    </w:p>
    <w:p>
      <w:r>
        <w:t>A/4400/2019</w:t>
      </w:r>
    </w:p>
    <w:p>
      <w:r>
        <w:rPr>
          <w:b/>
        </w:rPr>
        <w:t>E. 18</w:t>
      </w:r>
    </w:p>
    <w:p>
      <w:r>
        <w:t>Évaluer la possibilité d'améliorer la capacité de travail par des mesures médicales.</w:t>
      </w:r>
    </w:p>
    <w:p>
      <w:r>
        <w:rPr>
          <w:b/>
        </w:rPr>
        <w:t>E. 19</w:t>
      </w:r>
    </w:p>
    <w:p>
      <w:r>
        <w:t>Commenter et discuter les avis médicaux du SMR et des médecins traitants.</w:t>
      </w:r>
    </w:p>
    <w:p>
      <w:r>
        <w:rPr>
          <w:b/>
        </w:rPr>
        <w:t>E. 20</w:t>
      </w:r>
    </w:p>
    <w:p>
      <w:r>
        <w:t>Formuler un pronostic global.</w:t>
      </w:r>
    </w:p>
    <w:p>
      <w:r>
        <w:rPr>
          <w:b/>
        </w:rPr>
        <w:t>E. 21</w:t>
      </w:r>
    </w:p>
    <w:p>
      <w:r>
        <w:t>Toute remarque utile et proposition des experts. 3. Commet à ces fins les Drs K______ et L______.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en trois exemplaires à la chambre de céans. 6.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