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ATAS/277/2020 vom 6. April 2020</w:t>
      </w:r>
    </w:p>
    <w:p>
      <w:r>
        <w:t>GE Cour de justice, 2020-04-06, FR</w:t>
      </w:r>
    </w:p>
    <w:p>
      <w:r>
        <w:rPr>
          <w:b/>
        </w:rPr>
        <w:t xml:space="preserve">Quelle: </w:t>
      </w:r>
      <w:r>
        <w:t>https://mcp.opencaselaw.ch/entscheid/ge_gerichte_ATAS_277_2020</w:t>
      </w:r>
    </w:p>
    <w:p>
      <w:r>
        <w:t>FR: GE_GERICHTE ATAS/277/2020 du 6 avril 2020</w:t>
      </w:r>
    </w:p>
    <w:p>
      <w:r>
        <w:t>IT: GE_GERICHTE ATAS/277/2020 del 6 aprile 2020</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w:t>
      </w:r>
    </w:p>
    <w:p>
      <w:r>
        <w:t>A/369/2020 - 4/11 - LPCC renvoie expressément, ainsi que les dispositions d'exécution de la loi fédérale désignées par règlement du Conseil d'Etat (let. b) et la partie générale du droit des assurances sociales du 6 octobre 2000 (LPGA - RS 830; let. c).</w:t>
      </w:r>
    </w:p>
    <w:p>
      <w:r>
        <w:rPr>
          <w:b/>
        </w:rPr>
        <w:t>E. 4</w:t>
      </w:r>
    </w:p>
    <w:p>
      <w:r>
        <w:t>Le délai de recours est de 30 jours (art. 62 al. 1 de la de loi sur la procédure administrative du 12 septembre 1985 [LPA - E 5 10]; art. 43 LPCC). Interjeté dans la forme et le délai prévus par la loi, le recours est recevable (art. 62 ss LPA).</w:t>
      </w:r>
    </w:p>
    <w:p>
      <w:r>
        <w:rPr>
          <w:b/>
        </w:rPr>
        <w:t>E. 5</w:t>
      </w:r>
    </w:p>
    <w:p>
      <w:r>
        <w:t>Le litige porte sur la question de savoir si c’est à juste titre que l’intimé a tenu compte, dans ses calculs du droit aux prestations, d’une pension alimentaire hypothétique entre octobre 2018 et mars 2019, puisque l’intimé a acquiescé au recours s’agissant de la période postérieure au 1er avril 2019.</w:t>
      </w:r>
    </w:p>
    <w:p>
      <w:r>
        <w:rPr>
          <w:b/>
        </w:rPr>
        <w:t>E. 6</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 prestation en espèces, versée mensuellement, calculée sur la base de revenus et dépenses réguliers et prévisibles, et qui fait l’objet d’un financement conjoint de la Confédération et des cantons (art. 3 al. 1 let. a et al. 2, 13 et 15 LPC) -,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w:t>
      </w:r>
    </w:p>
    <w:p>
      <w:r>
        <w:t>A/369/2020 - 5/11 - cantonales pour les familles, appelées prestations complémentaires familiales (ci- après : PCFam ;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w:t>
      </w:r>
    </w:p>
    <w:p>
      <w:r>
        <w:rPr>
          <w:b/>
        </w:rPr>
        <w:t>E. 7</w:t>
      </w:r>
    </w:p>
    <w:p>
      <w:r>
        <w:t>a. Les PCFam ont été introduites dans la législation genevoise par une loi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w:t>
      </w:r>
    </w:p>
    <w:p>
      <w:r>
        <w:t>A/369/2020 - 6/11 -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 L’art. 19 al. 2 RPCFam donne des indications sur le montant à intégrer dans le revenu du groupe familial, à titre de revenu hypothétique, dans deux hypothèses, à savoir celle dans laquelle une contribution d'entretien est due par les parents en vertu du code civil suisse à un ayant droit sous contrat d'apprentissage, âgé de moins de 25 ans, vivant dans son propre ménage (let. a), et celle d'un jeune adulte âgé de plus de 16 ans, mais de moins de 18 ans, ne poursuivant aucune formation ou études (let. b). Ni l’une ni l’autre de ces deux hypothèses n’est réalisée en l’espèce. e. Dans la mesure où l’art. 19 al. 1 RPCFam fait référence, sur le plan du principe, à l’art. 11 al. 1 let. g LPC, il est utile de mentionner les directives concernant les prestations complémentaires à l’AVS et à l’AI (ci-après : DPC), qui comportent notamment les indications suivantes sur le sujet considéré, mais qui ne sont toutefois pas d’application directe en matière de PCFam :  n. 3481.01 : Il faut en principe considérer comme revenus tous les éléments de revenu et de fortune auxquels il a été renoncé (art. 11 al. 1 let. g LPC) ; ils sont pris en compte dans le calcul PC comme s’il n’y avait pas été renoncé.  n. 3482.09 :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w:t>
      </w:r>
    </w:p>
    <w:p>
      <w:r>
        <w:t>A/369/2020 - 7/11 - et de fortune du débiteur (p. ex. bénéficiaire de prestations d’assistance). La preuve du caractère irrécouvrable de la créance incombe au bénéficiaire de PC.  n. 3491.02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 n. 3491.03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 n. 3491.04 : Les contributions d’entretien qui ont été fixées avant l’entrée en vigueur du nouveau droit en matière d’entretien de l’enfant, c'est-à-dire avant le 1er janvier 2017, ne doivent pas être adaptées aux nouvelles règles. Elles peuvent néanmoins être modifiées à la demande de l’enfant. Lorsqu’elles ont été fixées en même temps que les contributions d’entretien dues au parent, les contributions d’entretien dues à l’enfant peuvent être modifiées seulement si la situation change notablement.  n. 3491.06 : Si aucune convention d’entretien n’a été conclue ou si le montant de la contribution d’entretien convenue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 n. 3491.07 :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 n. 3491.08 : Si le bénéficiaire de PC n’obtempère pas dans les trois mois, l’organe PC fixe lui-même le montant de la contribution d’entretien. Il le calcule conformément aux règles des chapitres 3.4.9.2 à 3.4.9.6 des directives, lesquelles prévoient, notamment, que, pour le calcul de la prestation d’entretien, il faut, dans un premier temps, déterminer les besoins de base et le revenu des deux conjoints ; dans un deuxième temps, il faut déduire leurs besoins de base de leur revenu ; l’excédent éventuel est attribué pour moitié aux deux conjoints. Il est</w:t>
      </w:r>
    </w:p>
    <w:p>
      <w:r>
        <w:t>A/369/2020 - 8/11 - également précisé que les besoins de base correspondent en principe au minimum vital au sens du droit des poursuites (cf. n. 3492.02 et 3492.03).  n. 3491.09 :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 n. 3493.01 : Si aucune contribution d’entretien n’a été prévue en faveur des enfants, l’organe PC doit déterminer une éventuelle obligation y relative et en fixer le montant à prendre en compte sur la base des critères suivants (cf. n. 3493.02ss et notamment le n. 3495.01 qui précise, s’agissant des prestations d’entretien en faveur des enfants, que le minimum vital au sens du droit des poursuites du débiteur des contributions doit toujours être garanti.). f.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w:t>
      </w:r>
    </w:p>
    <w:p>
      <w:r>
        <w:t>A/369/2020 - 9/11 -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w:t>
      </w:r>
    </w:p>
    <w:p>
      <w:r>
        <w:rPr>
          <w:b/>
        </w:rPr>
        <w:t>E. 8</w:t>
      </w:r>
    </w:p>
    <w:p>
      <w:r>
        <w:t>Le règlement d’application de la loi sur l’avance et le recouvrement des pensions alimentaires du 2 juin 1986 dans sa teneur en vigueur depuis le 1er janvier 2009 (RARPA - E 1 25.01) prescrit que, pour obtenir l’intervention du service, le créancier doit être domicilié ou résider de façon permanente dans le canton. (art. 2 al. 1). Le requérant doit fournir soit une convention approuvée par le Tribunal de protection de l’adulte et de l’enfant, soit une décision judiciaire exécutoire (art. 3). Le montant de l'avance en faveur d'un enfant correspond à celui de la pension fixée par le jugement ou la convention, mais au maximum à 673 F par mois et par enfant art. 4 al. 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A/369/2020 - 10/11 -</w:t>
      </w:r>
    </w:p>
    <w:p>
      <w:r>
        <w:rPr>
          <w:b/>
        </w:rPr>
        <w:t>E. 11</w:t>
      </w:r>
    </w:p>
    <w:p>
      <w:r>
        <w:t>En l’espèce, l’intimé a pris en compte dans ses calculs une contribution d'entretien hypothétique de 673.- CHF/mois pour le fils de la recourante, au motif que celle-ci n'avait pas démontré avoir entrepris des démarches avant avril 2019. S’agissant de la période antérieure, il n’existe aucun jugement ou convention écrite réglant l’étendue de l’obligation d’entretien du père vis-à-vis de son fils. Par conséquent, il ne s'agit pas d'examiner si la créance d'entretien qui aurait été fixée par le juge civil ou par convention est irrécouvrable, mais bien de déterminer si et dans quelle mesure le père, qui vit au Brésil, dispose des ressources suffisantes pour contribuer effectivement à l'entretien de son fils vivant à Genève. La recourante allègue que le père de l’enfant ne retire de son activité de garagiste qu’un revenu d’environ CHF 200.- par mois, avec lequel il lui faut assumer sa nouvelle famille. L’intimé considère qu’en l’absence de tout document, ces faits ne sont pas établis. Or, l’intimé ne pouvait statuer sur la base du dossier sans octroyer un délai à la recourante pour produire les pièces établissant les revenus et les charges du père de son fils, afin de procéder au calcul du minimum vital (cf. DPC ch. 3493.01 et ATAS/1246/2013 consid. 10). En procédant au calcul du droit aux prestations sans déterminer concrètement le montant de la pension alimentaire qui aurait, cas échéant, été mise à la charge du père, l’intimé a violé son obligation d’instruire le cas d’office. Toutefois, cette violation n’a pas d’incidence car, quoi qu’il en soit, la différence de niveau de vie entre la Suisse et le Brésil ne permet pas d’exiger du père une contribution à l’entretien de son fils de 673 CHF/mois sans entamer son minimum vital. En effet, il ressort des données de la Banque mondiale qu’en 2018 – derniers chiffres disponibles -, le revenu national par habitant s’élevait au Brésil à $ 9’140.- par année, (http://donnees.banquemondiale.org/pays/bresil), ce qui correspond à un revenu d’environ $ 762 par mois. Dès lors, une contribution d’entretien mensuelle de CHF 673.- – telle que prise en compte par l’intimé dans son calcul du droit aux prestations – ne pourrait qu’entamer le minimum vital du père, de sorte qu’elle ne peut pas être exigée de sa part, respectivement, ne doit pas être inclue dans le calcul. Au vu de ce qui précède, le recours est admis et la décision sur opposition du 10 janvier 2010 est annulée. Le dossier est renvoyé à l’intimé pour nouveau calcul du droit aux prestations ne tenant pas compte d’une pension alimentaire potentielle. La recourante obtenant entièrement gain de cause, il y a lieu de lui octroyer une participation à ses frais et dépens. Pour le surplus, la procédure est gratuite (art. 61 let. a LPGA).</w:t>
      </w:r>
    </w:p>
    <w:p>
      <w:r>
        <w:t>A/369/2020 - 11/11 -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