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ATAS/277/2019 vom 2. April 2019</w:t>
      </w:r>
    </w:p>
    <w:p>
      <w:r>
        <w:t>GE Cour de justice, 2019-04-02, FR</w:t>
      </w:r>
    </w:p>
    <w:p>
      <w:r>
        <w:rPr>
          <w:b/>
        </w:rPr>
        <w:t xml:space="preserve">Quelle: </w:t>
      </w:r>
      <w:r>
        <w:t>https://mcp.opencaselaw.ch/entscheid/ge_gerichte_ATAS_277_2019</w:t>
      </w:r>
    </w:p>
    <w:p>
      <w:r>
        <w:t>FR: GE_GERICHTE ATAS/277/2019 du 2 avril 2019</w:t>
      </w:r>
    </w:p>
    <w:p>
      <w:r>
        <w:t>IT: GE_GERICHTE ATAS/277/2019 del 2 aprile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A/3614/2017 - 10/17 -</w:t>
      </w:r>
    </w:p>
    <w:p>
      <w:r>
        <w:rPr>
          <w:b/>
        </w:rPr>
        <w:t>E. 2</w:t>
      </w:r>
    </w:p>
    <w:p>
      <w:r>
        <w:t>Le recours, interjeté dans les forme et délai prévus par la loi, est recevable (art. 56 à 60 LPGA). En particulier, malgré leur libellé, on interprétera les conclusions du recourant relatives à la reconnaissance de son droit aux prestations comme tendant à la condamnation de l’intimée au versement de ces prestations. Elles sont ainsi recevables, contrairement à des conclusions constatatoires, dont le caractère est subsidiaire par rapport à une action formatrice (ATF 129 V 289 consid. 2.1, arrêt du Tribunal fédéral des assurances B 149/06 du 11 juin 2007 consid. 5.2).</w:t>
      </w:r>
    </w:p>
    <w:p>
      <w:r>
        <w:rPr>
          <w:b/>
        </w:rPr>
        <w:t>E. 3</w:t>
      </w:r>
    </w:p>
    <w:p>
      <w:r>
        <w:t>Le litige tel que circonscrit par les conclusions du recours porte uniquement sur le degré d’invalidité du recourant.</w:t>
      </w:r>
    </w:p>
    <w:p>
      <w:r>
        <w:rPr>
          <w:b/>
        </w:rPr>
        <w:t>E. 4</w:t>
      </w:r>
    </w:p>
    <w:p>
      <w:r>
        <w:t>À titre préliminaire, on soulignera que le juge examine d’office les conditions dont dépend la qualité pour recourir et les conditions formelles de validité et de régularité de la procédure précédente, soit en particulier le point de savoir si c'est à juste titre que l’instance inférieure est entrée en matière sur le recours (ATF 128 V 29 consid. 2a). Selon l’art. 52 LPGA, les décisions rendues en matière d'assurance sociale peuvent être attaquées dans les trente jours par voie d'opposition auprès de l'assureur qui les a rendues, à l'exception des décisions d'ordonnancement de la procédure. L'art. 10 al. 1 de l’ordonnance sur la partie générale du droit des assurances sociales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 Tribunal fédéral a ensuite souligné que l'existence d'un éventuel abus de droit peut être admise plus facilement lorsque l'assuré est représenté par un mandataire professionnel, dès lors que ce dernier est censé connaître les exigences formelles d'un acte de recours ou d'une opposition et qu'il sait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w:t>
      </w:r>
    </w:p>
    <w:p>
      <w:r>
        <w:t>A/3614/2017 - 11/17 -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de ce cas de figure, le Tribunal fédéral a retenu que les conditions de l'octroi d'un délai supplémentaire en vertu des art. 61 let. b LPGA et 10 al. 5 OPGA ne sont a contrario pas données et qu'il n'y a pas lieu de protéger la confiance que le mandataire professionnel a placée dans le fait qu'un tel délai lui a été accordé à tort (arrêt du Tribunal fédéral 8C_817/2017 du 31 août 2018 consid. 4). Si en l’espèce, le recourant, représenté par un avocat, a complété son opposition dans un délai prolongé largement au-delà des trente jours prévus par l’art. 52 al. 1 LPGA, la jurisprudence citée ci-dessus ne s’applique pas dès lors que son opposition du 28 mars 2017 était déjà suffisamment motivée, et partant recevable. C’est ainsi à juste titre que l’intimée est entrée en matière sur cette opposition.</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w:t>
      </w:r>
    </w:p>
    <w:p>
      <w:r>
        <w:t>A/3614/2017 - 12/17 -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7</w:t>
      </w:r>
    </w:p>
    <w:p>
      <w:r>
        <w:t>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w:t>
      </w:r>
    </w:p>
    <w:p>
      <w:r>
        <w:t>A/3614/2017 - 13/17 -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A/3614/2017 - 14/17 -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e. L’art. 6 de la Convention de sauvegarde des droits de l'homme et des libertés fondamentales (CEDH – RS 0.101), qui consacre le droit à un procès équitable, ne contient pas de règles concernant les moyens de preuve admissibles en procédure judiciaire et sur la manière de les apprécier. Selon cette disposition, le principe de l'égalité des armes fait partie des droits à un procès équitable. Elle a pour conséquence qu'un assuré ne doit pas être mis dans une situation procédurale dans laquelle il n'a aucune chance raisonnable de soumettre son affaire au tribunal sans être clairement défavorisé par rapport aux autres parties à la procédure. Au regard de ces règles, il est en principe admissible qu'un tribunal se fonde sur les preuves obtenues de manière correcte par l'assureur et renonce ainsi à sa propre procédure probatoire (arrêt du Tribunal fédéral 8C_128/2014 du 2 décembre 2014 consid. 4.1 et 4.2).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w:t>
      </w:r>
    </w:p>
    <w:p>
      <w:r>
        <w:rPr>
          <w:b/>
        </w:rPr>
        <w:t>E. 9</w:t>
      </w:r>
    </w:p>
    <w:p>
      <w:r>
        <w:t>En l’espèce, il convient tout d’abord de relever que l’intimée n’est pas liée par la décision de l’OAI, notamment eu égard au fait qu’elle est postérieure à la sienne. L’intimée s’est fondée sur le rapport du Dr K______ pour déterminer le droit à la rente du recourant.</w:t>
      </w:r>
    </w:p>
    <w:p>
      <w:r>
        <w:t>A/3614/2017 - 15/17 - Si ce médecin a bien pris connaissance du dossier du recourant et l’a interrogé sur ses plaintes avant de rendre son avis, ses conclusions quant à l’exigibilité d’une activité adaptée ne sont guère motivées. Il n’explique notamment pas ce qui lui permet de faire abstraction des douleurs du recourant dans l’appréciation de son rendement. Il n’a en outre pas pris soin d’exposer les raisons pour lesquelles il s’écartait de l’avis - unanime - des médecins traitants du recourant, selon lequel ce dernier n’est plus apte à travailler à plus de 50 %, même dans une activité adaptée. On rappellera sur ce point que les médecins de la CRR ont eux aussi à l’époque pronostiqué qu’une activité même adaptée ne serait possible qu’à 50 %. Dans ces conditions, l’avis isolé du Dr K______ du 23 août 2016 ne suffit pas à emporter la conviction. Par ailleurs, même si, comme on l’a vu, l’intimée n’a pas à aligner sa position sur celle de l’OAI, il faut néanmoins souligner que le Dr O______ partage l’avis des Drs F______, C______ et G______ quant au taux d’activité exigible. On ne peut certes pas faire grief au Dr K______ de ne pas avoir tenu compte du rapport du SMR, dès lors qu’il est postérieur à son propre examen. Il est en outre vrai que le rhumatologue du SMR fonde son évaluation sur la diminution de rendement qu’entraînent les nombreuses limitations fonctionnelles du recourant, dont certaines sont dues à des affections dont l’intimée ne répond pas. Cela étant, le diagnostic principal retenu dans son rapport est à tout le moins partiellement en lien avec l’accident, puisqu’il s’agit de rachialgies consécutives notamment à la fracture vertébrale. Partant, ses conclusions suscitent elles aussi des doutes sur l’évaluation du Dr K______.</w:t>
      </w:r>
    </w:p>
    <w:p>
      <w:r>
        <w:rPr>
          <w:b/>
        </w:rPr>
        <w:t>E. 10</w:t>
      </w:r>
    </w:p>
    <w:p>
      <w:r>
        <w:t>Eu égard aux éléments qui précèdent, la chambre de céans ne dispose pas des éléments nécessaires pour trancher la cause.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En effet, l’intimée s’est contentée de l’avis interne, insuffisamment étayé, du Dr K______. Il y a ainsi lieu de lui renvoyer la cause, à charge pour elle de mettre en œuvre une expertise orthopédique du recourant, dans le respect des exigences en matière de participation des assurés, comprenant notamment le droit de se prononcer sur le choix de l'expert, de connaître les questions qui lui seront posées, et d'en formuler d'autres (ATF 137 V 210 consid. 3.2.4.6 et 3.2.4.9).</w:t>
      </w:r>
    </w:p>
    <w:p>
      <w:r>
        <w:t>A/3614/2017 - 16/17 -</w:t>
      </w:r>
    </w:p>
    <w:p>
      <w:r>
        <w:rPr>
          <w:b/>
        </w:rPr>
        <w:t>E. 11</w:t>
      </w:r>
    </w:p>
    <w:p>
      <w:r>
        <w:t>Compte tenu de ce qui précède, il n’est pas nécessaire à ce stade de la procédure d’examiner les griefs du recourant sur les modalités du calcul d’invalidité opéré par l’intimée. En outre, eu égard à l’issue de la présente procédure, la chambre de céans ne donnera pas suite aux requêtes d’audition du recourant.</w:t>
      </w:r>
    </w:p>
    <w:p>
      <w:r>
        <w:rPr>
          <w:b/>
        </w:rPr>
        <w:t>E. 12</w:t>
      </w:r>
    </w:p>
    <w:p>
      <w:r>
        <w:t>Le recours est partiellement admis. Le recourant a droit à une indemnité de procédure, qui sera fixée à CHF 1'800.- (art. 61 let. g LPGA), à la charge de l’intimé. Pour le surplus, la procédure est gratuite (art. 61 let. a LPGA). ******</w:t>
      </w:r>
    </w:p>
    <w:p>
      <w:r>
        <w:t>A/3614/2017 - 17/17 -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