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ATAS/277/2014 vom 10. März 2014</w:t>
      </w:r>
    </w:p>
    <w:p>
      <w:r>
        <w:t>GE Cour de justice, 2014-03-10, FR</w:t>
      </w:r>
    </w:p>
    <w:p>
      <w:r>
        <w:rPr>
          <w:b/>
        </w:rPr>
        <w:t xml:space="preserve">Quelle: </w:t>
      </w:r>
      <w:r>
        <w:t>https://mcp.opencaselaw.ch/entscheid/ge_gerichte_ATAS_277_2014</w:t>
      </w:r>
    </w:p>
    <w:p>
      <w:r>
        <w:t>FR: GE_GERICHTE ATAS/277/2014 du 10 mars 2014</w:t>
      </w:r>
    </w:p>
    <w:p>
      <w:r>
        <w:t>IT: GE_GERICHTE ATAS/277/2014 del 10 marzo 2014</w:t>
      </w:r>
    </w:p>
    <w:p>
      <w:pPr>
        <w:pStyle w:val="Heading2"/>
      </w:pPr>
      <w:r>
        <w:t>Erwägungen</w:t>
      </w:r>
    </w:p>
    <w:p>
      <w:r>
        <w:rPr>
          <w:b/>
        </w:rPr>
        <w:t>E. 1</w:t>
      </w:r>
    </w:p>
    <w:p>
      <w:r>
        <w:t>Conformément à l'art. 134 al. 1 let. a ch. 5 de la loi sur l'organisation judiciaire du 26 septembre 2010 (LOJ; RSG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t>A/3277/2013 - 10/15 -</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Interjeté dans la forme et le délai prévus par la loi, le recours est recevable (art. 56ss LPGA).</w:t>
      </w:r>
    </w:p>
    <w:p>
      <w:r>
        <w:rPr>
          <w:b/>
        </w:rPr>
        <w:t>E. 4</w:t>
      </w:r>
    </w:p>
    <w:p>
      <w:r>
        <w:t>Le litige porte sur le droit de la recourante aux prestations après le 20 juillet 2011, plus particulièrement sur le point de savoir si les lésions ayant conduit à l’intervention chirurgicale sont en lien de causalité avec l’événement du 8 juillet 2011.</w:t>
      </w:r>
    </w:p>
    <w:p>
      <w:r>
        <w:rPr>
          <w:b/>
        </w:rPr>
        <w:t>E. 5</w:t>
      </w:r>
    </w:p>
    <w:p>
      <w:r>
        <w:t>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Selon l’art. 10 al. 1 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w:t>
      </w:r>
    </w:p>
    <w:p>
      <w:r>
        <w:t>A/3277/2013 - 11/15 - sociales (ATF 129 V 177 consid. 3.1 ; ATF non publié 8C_262/2008 du 11 février 2009, consid. 2.1)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(ATF non publié 8C_535/2008 du 2 février 2009, consid. 2.3).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8C_463/2009 du 23 novembre 2009, consid. 3).</w:t>
      </w:r>
    </w:p>
    <w:p>
      <w:r>
        <w:rPr>
          <w:b/>
        </w:rPr>
        <w:t>E. 7</w:t>
      </w:r>
    </w:p>
    <w:p>
      <w:r>
        <w:t>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w:t>
      </w:r>
    </w:p>
    <w:p>
      <w:r>
        <w:t>A/3277/2013 - 12/15 -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w:t>
      </w:r>
    </w:p>
    <w:p>
      <w:r>
        <w:rPr>
          <w:b/>
        </w:rPr>
        <w:t>E. 8</w:t>
      </w:r>
    </w:p>
    <w:p>
      <w:r>
        <w:t>En l’espèce, l’intimée ne semble à juste titre plus nier la survenance d’un accident. Le fait de se cogner le genou lors du freinage brusque d’un tram correspond en effet à la définition de l’accident, dès lors qu’un facteur extraordinaire ne peut être nié dans un tel cas. L’intimée ne peut se prévaloir du fait que les Dresses C__________ et D__________, médecins de premier recours, n’aient pas évoqué ce choc dans leurs rapports. En effet, il ne s’agit pas là de déclarations directes de la recourante et on ne peut exclure que les médecins aient mal transcrit les explications de cette dernière. La Dresse C__________ paraît d’ailleurs admettre avoir établi son rapport uniquement sur la base du dossier médical et pas sur un interrogatoire de la recourante. Quant au rapport du 4 novembre 2011 de la Dresse D__________, il n’est pas non plus exempt d’erreur puisqu’elle mentionne un blocage du genou gauche, alors que c’est le genou droit qui a été touché. Selon toute vraisemblance, la recourante n’a pas pu vérifier l’exactitude des explications avancées par ces médecins dans leurs rapports, de sorte qu’on ne peut lui en opposer le contenu. A cet égard, il convient de rappeler qu’un document qui fait état d'un renseignement recueilli par oral ou par téléphone ne constitue un moyen de preuve recevable et fiable que s'il porte sur des éléments d’importance secondaire, tels que des indices ou des points accessoires. Si les renseignements portent sur des aspects essentiels de l'état de fait, ils doivent faire l'objet d'une demande écrite (ATF 117 V 282 consid. 4c). Par analogie, des renseignements médicaux qui n’émanent pas</w:t>
      </w:r>
    </w:p>
    <w:p>
      <w:r>
        <w:t>A/3277/2013 - 13/15 - directement de l’assuré et dont ce dernier n’a pu contrôler la justesse ne peuvent être traités comme s’il s’agissait de ses propres déclarations. Partant, rien ne permet de mettre en doute les déclarations constantes de la recourante, aux termes desquelles elle s’est heurté le genou droit contre une plaque métallique dans le tram. Les documents médicaux versés au dossier appellent les remarques suivantes. Il est patent que l’avis du Dr E__________, qui se résume à une coche dans un formulaire, ne satisfait pas aux exigences en matière de valeur probante des rapports médicaux rappelées ci-dessus. L’appréciation du Dr F__________ ne comprend pas non plus tous les éléments formels requis pour permettre de reconnaître la valeur probante d’expertises médicales. Ce médecin motive de plus ses conclusions du 16 avril 2012 par la survenance de blocages sur luxation d’une déchirure du ménisque, alors que rien ne permet d’affirmer que telle était la nature des blocages subis précédemment. S’agissant en particulier du rapport du Dr G_________ du 15 mai 2012, s’il avance des arguments sérieux pour remettre en cause l’appréciation du Dr F__________, il ne contient pas tous les éléments nécessaires à se voir reconnaître une pleine valeur probante, puisqu’il ne procède pas à une anamnèse complète pour les troubles du genou survenus avant le 8 juillet 2011. Ce spécialiste paraît d’ailleurs admettre dans ses déterminations du 20 novembre 2013 qu’une expertise reste nécessaire. Quant à l’avis du Dr H_________, si ses explications sont claires et détaillées, il ne prend aucune conclusion formelle sur l’existence ou la persistance d’un lien de causalité entre l’accident du 8 juillet 2011 et la lésion ayant justifié l’intervention chirurgicale que l’intimée refuse de prendre en charge. Ce médecin, expose en effet de manière tout à fait convaincante en quoi les thèses des Drs G_________ et F__________ sont toutes deux défendables, à défaut de précisions sur l’anamnèse des blocages antérieurs du genou. L’intimée ne peut en particulier pas être suivie lorsqu’elle affirme que l’avis du Dr G_________ ne pourrait être retenu que si le genou de la recourante avait subi une torsion, ce qui n’est pas le cas. Le Dr H_________ n’a en effet pas formellement exclu de mécanisme de torsion. Quant à la nature de la lésion, survenue sous forme de désinsertion méniscale plutôt que d’une déchirure radiaire plus habituelle dans ce genre de circonstances, le Dr H_________ n’en tire pas non plus d’argument décisif en défaveur d’un lien de causalité. En effet, il affirme tout à fait clairement que la lésion méniscale pourrait être la conséquence du traumatisme subi le 8 juillet 2011 et que des mesures d’instruction supplémentaires sont nécessaires. Force est ainsi de constater que l’intimée procède à une lecture incomplète de l’appréciation de son médecin-conseil. En effet, contrairement à ce qu’allègue l’intimée, le Dr H_________ n’exclut nullement un lien de causalité entre l’accident et les troubles du genou ayant conduit à l’intervention du 21 juillet 2011.</w:t>
      </w:r>
    </w:p>
    <w:p>
      <w:r>
        <w:rPr>
          <w:b/>
        </w:rPr>
        <w:t>E. 9</w:t>
      </w:r>
    </w:p>
    <w:p>
      <w:r>
        <w:t>Eu égard à ce qui précède, la Cour de céans ne dispose pas de renseignements médicaux suffisamment probants pour trancher le litige.</w:t>
      </w:r>
    </w:p>
    <w:p>
      <w:r>
        <w:t>A/3277/2013 - 14/15 - Selon la jurisprudence, lorsque le juge constate qu’une expertise est nécessaire, il doit en principe la mettre en œuvre lui-même. Un renvoi à l’administration reste cependant possible lorsqu’elle est justifiée par l’examen d’un point qui n’a pas du tout été investigué (ATF 137 V 210 consid. 4.4.1.3 et 4.4.1.4). Tel est le cas en l’espèce, l’intimée n’ayant pas procédé à une expertise médicale complète malgré les recommandations du Dr H_________. Partant, la cause lui sera renvoyée, à charge pour elle de la mettre en œuvre en collaboration avec la recourante.</w:t>
      </w:r>
    </w:p>
    <w:p>
      <w:r>
        <w:rPr>
          <w:b/>
        </w:rPr>
        <w:t>E. 10</w:t>
      </w:r>
    </w:p>
    <w:p>
      <w:r>
        <w:t>Eu égard à ce qui précède, le recours est partiellement admis. La recourante, qui obtient gain de cause, a droit à des dépens qu’il convient de fixer à 1'800 fr. (art. 61 let. g LPGA). Pour le surplus, la procédure est gratuite (art. 61 let. a LPGA).</w:t>
      </w:r>
    </w:p>
    <w:p>
      <w:r>
        <w:t>********</w:t>
      </w:r>
    </w:p>
    <w:p>
      <w:r>
        <w:t>A/3277/2013 - 15/15 -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