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ATAS/277/2009 vom 10. März 2009</w:t>
      </w:r>
    </w:p>
    <w:p>
      <w:r>
        <w:t>GE Cour de justice, 2009-03-10, FR</w:t>
      </w:r>
    </w:p>
    <w:p>
      <w:r>
        <w:rPr>
          <w:b/>
        </w:rPr>
        <w:t xml:space="preserve">Quelle: </w:t>
      </w:r>
      <w:r>
        <w:t>https://mcp.opencaselaw.ch/entscheid/ge_gerichte_ATAS_277_2009</w:t>
      </w:r>
    </w:p>
    <w:p>
      <w:r>
        <w:t>FR: GE_GERICHTE ATAS/277/2009 du 10 mars 2009</w:t>
      </w:r>
    </w:p>
    <w:p>
      <w:r>
        <w:t>IT: GE_GERICHTE ATAS/277/2009 del 10 marzo 2009</w:t>
      </w:r>
    </w:p>
    <w:p>
      <w:pPr>
        <w:pStyle w:val="Heading2"/>
      </w:pPr>
      <w:r>
        <w:t>Erwägungen</w:t>
      </w:r>
    </w:p>
    <w:p>
      <w:r>
        <w:rPr>
          <w:b/>
        </w:rPr>
        <w:t>E. 1</w:t>
      </w:r>
    </w:p>
    <w:p>
      <w:r>
        <w:t>Conformément à l’art. 56V al. 1er let. a ch. 4 de la loi genevoise du 22 novembre 1941 sur l’organisation judiciaire, le Tribunal cantonal des assurances sociales connaît en instance unique des contestations prévues à l’art. 56 de la loi fédérale du</w:t>
      </w:r>
    </w:p>
    <w:p>
      <w:r>
        <w:rPr>
          <w:b/>
        </w:rPr>
        <w:t>E. 6</w:t>
      </w:r>
    </w:p>
    <w:p>
      <w:r>
        <w:t>En l’espèce, la thèse de la recourante, selon laquelle sa jambe gauche était saine quand elle a fait réserver le séjour par et chez sa fille, n’est pas convaincante. Au point 2 de la lettre qu’elle a adressée à l’assureur le 14 août 2008, elle déclare que</w:t>
      </w:r>
    </w:p>
    <w:p>
      <w:r>
        <w:t>A/3753/2008 - 9/10 - le docteur L__________ lui avait dit « qu’il y avait deux problèmes, dont celui du ménisque ». L’examen du diagnostic posé par le docteur N__________ le 30 juin 2008 et du rapport opératoire qu’il a établi le 8 juillet suivant montre que le second problème consistait en une arthrose. Nul doute que cette affection existait déjà en mars 2008, et que la recourante en connaissait l’existence. D’autre part, ainsi que l’a à juste titre relevé l’intimée, force est de constater que plus d’une semaine s’est déroulée entre la première consultation assurée par le doc- teur N__________ et l’intervention chirurgicale conduite par celui-ci. Le caractère urgent de ladite intervention fait donc d’emblée défaut ; parmi les principes rappe- lées plus haut, il faut en effet que des raisons médicales s’opposent à un report du traitement ; or, un délai de huit jours s’est écoulé entre le diagnostic et l’opération chirurgicale, délai que seul l’absence d’urgence peut expliquer dans une région telle que celle où séjournait la recourante. À cela s’ajoute que, moyennant quelques pré- cautions, l’intervention chirurgicale aurait pu être réalisée à plus bref délai en Suisse, en dépit des démarches qu’aurait nécessairement entraînées l’organisation d’un voyage inopiné dans ces conditions ; un retour n’apparaissait donc pas, loin s’en faut, inapproprié. À cet égard, même à admettre que la lésion dégénérative du ménisque soit apparue entre la consultation du docteur L__________ et celle du docteur N__________, et en particulier pendant le voyage vers les EUA, il s’impose de considérer, selon l’avis médical du docteur O__________, qui n’est contredit par aucun des avis médicaux recueillis, qu’à moins d’un blocage total de l’articulation, il n’y a pas d’urgence à procéder à une intervention arthroscopique, ce qui a d’ailleurs manifestement prévalu dans le cas d’espèce. Enfin, rien n’indique que l’état de l’articulation de la recourante ait été d’une singularité telle que, même à faire abstraction du délai qui a été observé, des considérations médica- les commandaient d’agir sur place. Quant à l’argumentation relative à son état de santé général, à savoir celui d’une oc- togénaire qui souffre notamment d’hypertension et de diabète, elle ne convainc pas non plus. On ne voit en particulier pas en quoi, même associés à une lésion ménis- cale et à une arthrose, de tels troubles auraient rendu inapproprié le retour de la re- courante en Suisse. En toute hypothèse, ces affections ne l’ont pas dissuadée d’accomplir un tel voyage huit jours avant l’opération et vingt jours après. Partant, c’est à juste titre que l’assureur a considéré que le caractère d’urgence re- quis pour le traitement reçu fait ici défaut. Mal fondé, le recours devra par consé- quent être rejeté.</w:t>
      </w:r>
    </w:p>
    <w:p>
      <w:r>
        <w:t>A/3753/2008 - 10/10 -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