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ATAS/276/2020 vom 6. April 2020</w:t>
      </w:r>
    </w:p>
    <w:p>
      <w:r>
        <w:t>GE Cour de justice, 2020-04-06, FR</w:t>
      </w:r>
    </w:p>
    <w:p>
      <w:r>
        <w:rPr>
          <w:b/>
        </w:rPr>
        <w:t xml:space="preserve">Quelle: </w:t>
      </w:r>
      <w:r>
        <w:t>https://mcp.opencaselaw.ch/entscheid/ge_gerichte_ATAS_276_2020</w:t>
      </w:r>
    </w:p>
    <w:p>
      <w:r>
        <w:t>FR: GE_GERICHTE ATAS/276/2020 du 6 avril 2020</w:t>
      </w:r>
    </w:p>
    <w:p>
      <w:r>
        <w:t>IT: GE_GERICHTE ATAS/276/2020 del 6 aprile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déposé dans les délai et forme requis par la loi, est recevable.</w:t>
      </w:r>
    </w:p>
    <w:p>
      <w:r>
        <w:rPr>
          <w:b/>
        </w:rPr>
        <w:t>E. 3</w:t>
      </w:r>
    </w:p>
    <w:p>
      <w:r>
        <w:t>Le litige se limite à la question de savoir si le temps dévolu aux déplacements effectués pour se rendre sur un lieu de formation peut être comptabilisé comme faisant partie de cette dernière. En effet, le recourant ne conteste pas qu’à défaut, le temps de formation n’atteint pas les 20 heures par semaine.</w:t>
      </w:r>
    </w:p>
    <w:p>
      <w:r>
        <w:rPr>
          <w:b/>
        </w:rPr>
        <w:t>E. 4</w:t>
      </w:r>
    </w:p>
    <w:p>
      <w:r>
        <w:t>Selon l'art. 25 al. 1 LAVS, les enfants dont le père ou la mère est décédé ont droit à une rente d’orphelin. L’alinéa 5 précise que, pour les enfants qui accomplissent une formation, le droit à la rente s’étend jusqu’au terme de cette formation, mais au plus jusqu’à l’âge de 25 ans révolus. Le Conseil fédéral peut définir ce que l’on entend par formation. C’est ce qu’il a fait aux articles 49bis et 49ter du règlement sur l'assurance- vieillesse et survivants, du 31 octobre 1947 (RAVS ; RS 831.101).</w:t>
      </w:r>
    </w:p>
    <w:p>
      <w:r>
        <w:t>A/138/2020 - 4/6 - Selon l'art. 49bis al. 1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Selon la jurisprudence, un assuré fait un apprentissage ou des études aussi dans les cas où la fréquentation d'écoles et de cours ne vise pas, d'emblée, à l'obtention d'un diplôme professionnel déterminé, mais seulement à l'exercice futur d'un certain métier, ou bien lorsqu'il s'agit d'une formation qui ne prépare pas, d'emblée, à une profession déterminée. Cependant, l'intéressé doit se préparer systématiquement en vue d'atteindre l'un de ces buts, et cela en suivant une formation régulière, reconnue de jure et ou de facto. Cette formation doit avoir une influence importante au sens de la pratique sur les gains tirés de l'activité exercée (ATF 108 V 54 in RCC 1983, p. 198 ; ATF 109 V 104). Pour que la notion de formation systématique et structurée soit admise, la jurisprudence exige des "écoles ou des cours" ; ces deux notions supposent nécessairement une certaine forme de programme d'études et un minimum d'infrastructure scolaire (arrêt 9C_223/2008, consid. 1.2). Les Directives de l’OFAS concernant les rentes de l’assurance vieillesse, survivants et invalidité fédérale (DR) prévoient que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(DR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(DR 3359). En l'espèce, il ressort clairement du courriel adressé par SAWI à l’intimée le 21 octobre 2019 que le cours « MarCom+ » implique au total 25 à 26 semaines de travail pour obtenir le certificat, ce qui correspond à une durée de 17,6 heures par semaine de temps total consacré à la formation (440 heures : 25 semaines), ce que</w:t>
      </w:r>
    </w:p>
    <w:p>
      <w:r>
        <w:t>A/138/2020 - 5/6 - le recourant ne conteste d’ailleurs pas. Il soutient simplement que le temps dévolu à ses déplacements pour se rendre sur son lieu de formation devrait être comptabilisé comme faisant partie de celle-ci. Selon la jurisprudence, on entend par formation, toute activité qui a pour but de préparer d'une manière systématique à une future activité lucrative. Les déplacements effectués ne répondent clairement pas à cette définition. D’ailleurs, ni les dispositions légales, ni les directives ne les envisagent comme tels. L’argument du recourant ne saurait donc être suivi.</w:t>
      </w:r>
    </w:p>
    <w:p>
      <w:r>
        <w:rPr>
          <w:b/>
        </w:rPr>
        <w:t>E. 5</w:t>
      </w:r>
    </w:p>
    <w:p>
      <w:r>
        <w:t>Eu égard aux considérations qui précèdent, la durée de formation n’atteignant pas le minimum requis pour ouvrir droit à une rente d’orphelin, c’est à juste titre que l’intimée a nié le droit à cette dernière. Le recours est rejeté.</w:t>
      </w:r>
    </w:p>
    <w:p>
      <w:r>
        <w:t>A/138/2020 - 6/6 -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