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ATAS/275/2025 vom 17. April 2025</w:t>
      </w:r>
    </w:p>
    <w:p>
      <w:r>
        <w:t>GE Cour de justice, 2025-04-17, FR</w:t>
      </w:r>
    </w:p>
    <w:p>
      <w:r>
        <w:rPr>
          <w:b/>
        </w:rPr>
        <w:t xml:space="preserve">Quelle: </w:t>
      </w:r>
      <w:r>
        <w:t>https://mcp.opencaselaw.ch/entscheid/ge_gerichte_ATAS_275_2025</w:t>
      </w:r>
    </w:p>
    <w:p>
      <w:r>
        <w:t>FR: GE_GERICHTE ATAS/275/2025 du 17 avril 2025</w:t>
      </w:r>
    </w:p>
    <w:p>
      <w:r>
        <w:t>IT: GE_GERICHTE ATAS/275/2025 del 17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de nier au recourant le droit à l'indemnité de chômage, faute de domicile en Suisse.</w:t>
      </w:r>
    </w:p>
    <w:p>
      <w:r>
        <w:rPr>
          <w:b/>
        </w:rPr>
        <w:t>E. 2.1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w:t>
      </w:r>
    </w:p>
    <w:p>
      <w:r>
        <w:t>A/1518/2024 - 6/12 -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w:t>
      </w:r>
    </w:p>
    <w:p>
      <w:r>
        <w:rPr>
          <w:b/>
        </w:rPr>
        <w:t>E. 2.2</w:t>
      </w:r>
    </w:p>
    <w:p>
      <w:r>
        <w:t>Pour avoir droit à l'indemnité, l'assuré doit remplir cette condition du « domicile » en Suisse non seulement à l'ouverture du délai-cadre, mais pendant tout le temps où il touche l'indemnité (Gustavo SCARTAZZINI/Marc HURZELER, Bundessozial-versicherungsrecht, 4e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w:t>
      </w:r>
    </w:p>
    <w:p>
      <w:r>
        <w:t>A/1518/2024 - 7/12 -</w:t>
      </w:r>
    </w:p>
    <w:p>
      <w:r>
        <w:rPr>
          <w:b/>
        </w:rPr>
        <w:t>E. 2.3</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 arrêt du Tribunal fédéral C 149/01 du 13 mars 2002).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l'assurance-chômage, 2014, p. 78).</w:t>
      </w:r>
    </w:p>
    <w:p>
      <w:r>
        <w:rPr>
          <w:b/>
        </w:rPr>
        <w:t>E. 2.4</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3</w:t>
      </w:r>
    </w:p>
    <w:p>
      <w:r>
        <w:t>En l’espèce, l’OCE a considéré que le recourant n’était pas domicilié en Suisse au moment de son inscription au chômage, ce que celui-ci conteste.</w:t>
      </w:r>
    </w:p>
    <w:p>
      <w:r>
        <w:t>A/1518/2024 - 8/12 - Il ressort de l’extrait de l’OCPM que le recourant est domicilié au chemin B______, C______, depuis le 1er mars 2023. Or, ainsi qu'il a été exposé ci-avant, le fait d’avoir une adresse officielle en Suisse n’est pas déterminant si d’autres indices permettent de conclure à l’existence d’une résidence habituelle à l’étranger. Tel est toutefois le cas en l’espèce. Certes, le recourant semble entretenir des liens privilégiés avec la Suisse, où il est né et où vivent sa mère et sa compagne, ainsi que – selon ses dires – sa fille. Il n’en demeure pas moins que la chronologie des événements, soit la perte de son emploi avec effet au 31 mars 2023 et son inscription auprès de l’assurance-chômage le 18 avril 2023, amène à questionner les motifs qui ont conduit le recourant à s’annoncer à l’OCPM le 1er mars 2023. Les constatations des enquêteurs ayant établi le rapport d’entraide administrative du 7 juillet 2023 ne plaident pas en faveur d’un déplacement du centre de ses intérêts personnels à Genève en mars 2023. Si, comme le soutient le recourant, la voisine de palier a admis l’avoir aperçu à plusieurs reprises avec sa mère, elle a expressément indiqué que cette dernière vivait seule et que son fils ne lui rendait visite que « de temps à autre ». Quant à la voisine de l’étage du dessus, elle a indiqué l’avoir « peut-être » croisé une fois jeter les poubelles en bas de l’immeuble, précisant qu’il ne venait que pour aider sa mère. Les enquêteurs ont également relevé, lors de la visite domiciliaire, qu’il ne disposait que de peu d’affaires personnelles à l’adresse de C______, en particulier deux sous- vêtements et une paire de chaussettes. Il n’est par ailleurs pas contesté qu’il ne verse aucun loyer à sa mère. Le recourant soutient en revanche qu’il verse un loyer mensuel à sa compagne en lien avec son appartement à Chêne-Bougeries. Or, outre le fait qu’on ne voit pas en quoi cet argument viendrait étayer sa position selon laquelle il aurait déménagé à l’appartement de sa mère à C______ en mars 2023, il n’est pas possible de retenir, sur la base de ces pièces, qu’un loyer serait effectivement versé. Il n’est en effet aucunement fait mention d’un paiement de loyer dans les différentes inscriptions et le montant des versements varie fortement d’un mois à l’autre (allant de CHF 250.- en novembre 2023 à CHF 1’100.- au mois de décembre 2023). En revanche, il est établi qu’à la date de la décision entreprise, le recourant était toujours propriétaire de son bien immobilier sis à F______ (France). Certes, le recourant a produit des pièces permettant de démontrer que des démarches ont été entreprises en vue de la vente du bien. Il ressort toutefois de ces pièces que le mandat de vente n’a été conclu qu’en novembre 2023 et que les premières visites n’ont eu lieu qu’à partir de cette date. Il n’est donc pas possible, sur la base de ces pièces, de retenir que le recourant aurait déménagé de son appartement en France lors de son inscription à l’OCE en avril 2023. Enfin, les relevés détaillés de ses deux lignes téléphoniques suisse et française pour la période de mars à octobre 2023 révèlent une présence quasi quotidienne en France. Dans ses écritures, le recourant explique que cette situation est due à la proximité de son domicile avec la frontière, les antennes françaises étant généralement plus puissantes à cet endroit. Or, outre que cet argument n’est</w:t>
      </w:r>
    </w:p>
    <w:p>
      <w:r>
        <w:t>A/1518/2024 - 9/12 - aucunement démontré en ce qui concerne sa propre situation – les extraits Internet de discussions sur le sujet n’étant pas suffisants –, il vient contredire les déclarations du recourant, selon lesquelles il passerait la majorité de la semaine et tous les week-ends chez sa compagne à Chêne-Bougeries. La chambre de céans constate, au demeurant, que le recourant avait été invité à produire les factures de consommation d’électricité et de chauffage concernant le logement à C______ pour les mois d’avril 2023 et suivants. Dans la mesure où la consommation totale de cet appartement pour les années 2019 à 2022 figure au dossier, soit dans le rapport d’entraide administrative du 7 juillet 2023, la production des factures pour l’année 2023, voire la première moitié de 2024, aurait permis de comprendre si la consommation totale de l’appartement avait augmenté à compter de son déménagement en mars 2023. Le recourant n’a toutefois pas donné suite à cette demande, ni produit ces factures devant la chambre de céans. Dans ces circonstances, même si on ne peut pas exclure que la situation ait évolué, cas échéant avec la vente du bien immobilier en France, il convient de retenir, au degré de la vraisemblance prépondérante, que le lieu de résidence du recourant ne se situait pas à Genève, à tout le moins lors de son inscription au chômage le 18 avril 2023.</w:t>
      </w:r>
    </w:p>
    <w:p>
      <w:r>
        <w:rPr>
          <w:b/>
        </w:rPr>
        <w:t>E. 4</w:t>
      </w:r>
    </w:p>
    <w:p>
      <w:r>
        <w:t>Il convient encore d’examiner si l’intéressé, qui a travaillé en Suisse, peut déduire un droit aux prestations sur la base des règles de coordination européenne en matière d'assurance-chômage.</w:t>
      </w:r>
    </w:p>
    <w:p>
      <w:r>
        <w:rPr>
          <w:b/>
        </w:rPr>
        <w:t>E. 4.1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w:t>
      </w:r>
    </w:p>
    <w:p>
      <w:r>
        <w:t>A/1518/2024 - 10/12 -</w:t>
      </w:r>
    </w:p>
    <w:p>
      <w:r>
        <w:rPr>
          <w:b/>
        </w:rPr>
        <w:t>E. 4.2</w:t>
      </w:r>
    </w:p>
    <w:p>
      <w:r>
        <w:t>D'après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par. 1 du règlement n° 883/2004). Selon l'art. 11 par. 3 let. c du règlement n° 883/2004, la personne qui bénéficie de prestations de chômage conformément aux dispositions de l'art. 65, en vertu de la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1re et 2e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w:t>
      </w:r>
    </w:p>
    <w:p>
      <w:r>
        <w:t>A/1518/2024 - 11/12 -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 ATAS/909/2013).</w:t>
      </w:r>
    </w:p>
    <w:p>
      <w:r>
        <w:rPr>
          <w:b/>
        </w:rPr>
        <w:t>E. 4.3</w:t>
      </w:r>
    </w:p>
    <w:p>
      <w:r>
        <w:t>En application de la jurisprudence précitée, quand bien même l'intéressé aurait conservé avec la Suisse des liens personnels et professionnels tels qu'il disposerait dans cet État de meilleures chances de réinsertion professionnelle, c'est son pays de résidence, la France, qui doit lui verser des indemnités de chômage. C’est ainsi à juste titre que l’intimé a nié le droit à l’indemnité de chômage au recourant. Le recours doit donc être rejeté.</w:t>
      </w:r>
    </w:p>
    <w:p>
      <w:r>
        <w:rPr>
          <w:b/>
        </w:rPr>
        <w:t>E. 5</w:t>
      </w:r>
    </w:p>
    <w:p>
      <w:r>
        <w:t>Pour le surplus, la procédure est gratuite (art. 61 let. fbis a contrario LPGA et 89H al. 1 LPA).</w:t>
      </w:r>
    </w:p>
    <w:p>
      <w:r>
        <w:t>A/1518/2024 - 12/12 -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