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ATAS/275/2017 vom 10. April 2017</w:t>
      </w:r>
    </w:p>
    <w:p>
      <w:r>
        <w:t>GE Cour de justice, 2017-04-10, FR</w:t>
      </w:r>
    </w:p>
    <w:p>
      <w:r>
        <w:rPr>
          <w:b/>
        </w:rPr>
        <w:t xml:space="preserve">Quelle: </w:t>
      </w:r>
      <w:r>
        <w:t>https://mcp.opencaselaw.ch/entscheid/ge_gerichte_ATAS_275_2017</w:t>
      </w:r>
    </w:p>
    <w:p>
      <w:r>
        <w:t>FR: GE_GERICHTE ATAS/275/2017 du 10 avril 2017</w:t>
      </w:r>
    </w:p>
    <w:p>
      <w:r>
        <w:t>IT: GE_GERICHTE ATAS/275/2017 del 10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LAVS, les dispositions de la LPGA s'appliquent à l'AVS réglée dans la première partie,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la forme et le délai prescrits, le présent recours est recevable (art. 56 et 60 LPGA; art. 89B de la loi sur la procédure administrative, du 12 septembre 1985 - LPA ; RS E 5 10).</w:t>
      </w:r>
    </w:p>
    <w:p>
      <w:r>
        <w:t>A/3306/2016 - 8/11 -</w:t>
      </w:r>
    </w:p>
    <w:p>
      <w:r>
        <w:rPr>
          <w:b/>
        </w:rPr>
        <w:t>E. 4</w:t>
      </w:r>
    </w:p>
    <w:p>
      <w:r>
        <w:t>L'objet du litige porte sur le droit de l'intimée à compenser sur la rente AVS du recourant sa créance de CHF 101'035.90 à hauteur de CHF 1'502.- en septembre 2016 et de CHF 2'190.- dès le mois d'octobre 2016, jusqu'à extinction de la créance.</w:t>
      </w:r>
    </w:p>
    <w:p>
      <w:r>
        <w:rPr>
          <w:b/>
        </w:rPr>
        <w:t>E. 5</w:t>
      </w:r>
    </w:p>
    <w:p>
      <w:r>
        <w:t>L'entrée en vigueur de la LPGA n'a pas modifié les règles relatives à la compensation, qui reste régie par les lois spéciales ou les principes généraux, sous réserve de l'art. 20 al. 2 LPGA (cf. KIESER, ATSG-Kommentar, Zurich 2003, Remarques préliminaires, p. 13 n. 22). Cette disposition règle le problème particulier, qui n'est pas en cause ici, de la compensation d'une créance d'un tiers qualifié ou d'une autorité dans le contexte de la garantie d'un emploi des prestations conforme à leur but (cf. DUC, Assurance sociale et assurance privée, Berne 2003, pp. 139 et ss.).</w:t>
      </w:r>
    </w:p>
    <w:p>
      <w:r>
        <w:rPr>
          <w:b/>
        </w:rPr>
        <w:t>E. 6</w:t>
      </w:r>
    </w:p>
    <w:p>
      <w:r>
        <w:t>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 341 consid. 2a). La compensation opérée avec une rente mensuelle n'est toutefois possible que dans la mesure où le montant retenu sur la rente mensuelle ne touche pas le minimum vital de la personne tenue à restitution (ATF 128 V 50 consid. 4a). Pour le calcul du minimum vital de l'intéressé, il convient d'appliquer les règles du droit des poursuites (ATF 131 V 252 consid. 1.2 ; ATF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D'un point de vue temporel, l'examen du minimum vital nécessite que l'on se place au moment où le débiteur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 Les caisses doivent élucider avec précision la situation personnelle de l'intéressé (la fortune et les revenus effectifs, coûts de soutien et de formation). L’élément déterminant est l’ensemble de la situation économique de l'intéressé, y compris le revenu et la fortune du conjoint, respectivement du partenaire enregistré, et des</w:t>
      </w:r>
    </w:p>
    <w:p>
      <w:r>
        <w:t>A/3306/2016 - 9/11 - personnes [enfants] qui font ménage commun avec lui (DIN 3043 et not. RCC 1981 p. 516 et ATF 120 V 271 consid. 5cc). Pour le calcul du minimum vital du débiteur marié, la jurisprudence opère une différence suivant que celui-ci fait ménage commun avec son conjoint ou qu'il vit en fait séparé de lui. Lorsqu'il y a séparation de fait, l'office doit simplement en prendre acte, sans rechercher si, du point de vue matrimonial, la vie séparée se justifie ou non, sous réserve du cas où les époux auraient suspendu leur vie commune « in fraudem creditorum », c'est-à-dire dans le dessein d'enfler le minimum indispensable soustrait à l'emprise de leurs créanciers. Ce cas mis à part, l'office doit fixer les charges d'entretien et de loyer de l'époux poursuivi comme pour un célibataire, en tenant compte, dans les limites de l'art. 93 LP, des éventuelles contributions qu'il verse à son conjoint (ATF 76 III 5; arrêt du Tribunal fédéral 7B_160/2005 du 8 novembre 2005 consid. 2). Pour un débiteur vivant seul, le minimum vital s'élève à CHF 1'200.- (selon les Normes d'insaisissabilité pour l'année 2016 (NI-2015, RS E 3 60.04).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(arrêt du Tribunal fédéral 7B_221/2003 du 17 novembre 2003 consid. 2). Seules les primes de l'assurance- maladie obligatoire peuvent être prises en compte dans le calcul du minimum vital, à l'exclusion des primes de l'assurance-maladie complémentaire (ATF 134 III 323 consid. 3). Lors du calcul du minimum vital, la dette de cotisations n'est pas prise en compte; les intérêts passifs ne sont pas déductibles, sauf s'il s'agit d'intérêts hypothécaires en relation avec le logement du débiteur ou d'autres besoins vitaux de celui-ci; les revenus et la fortune du conjoint sont pris en compte (ATF 120 V 274 consid. 5a; arrêt du Tribunal fédéral H 66/03 du 28 avril 2003).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l'intéressé (ATF 126 V 319 consid. 5a).</w:t>
      </w:r>
    </w:p>
    <w:p>
      <w:r>
        <w:t>A/3306/2016 - 10/11 -</w:t>
      </w:r>
    </w:p>
    <w:p>
      <w:r>
        <w:rPr>
          <w:b/>
        </w:rPr>
        <w:t>E. 8</w:t>
      </w:r>
    </w:p>
    <w:p>
      <w:r>
        <w:t>Dans le domaine des assurances sociales,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(ATF du 20 novembre 2002 I 294/02 ; ATF 125 V 195 consid. 2 et les références).</w:t>
      </w:r>
    </w:p>
    <w:p>
      <w:r>
        <w:rPr>
          <w:b/>
        </w:rPr>
        <w:t>E. 9</w:t>
      </w:r>
    </w:p>
    <w:p>
      <w:r>
        <w:t>En l'espèce, il ressort des pièces produites que lors de la décision querellée, le 30 août 2016, l'assuré disposait d'un avoir de CHF 106'966.41. C'est donc faussement qu'il alléguait dans son recours n'avoir que sa rente AVS pour subvenir à ses besoins. De plus, il n'a déclaré être employé de G______ que confronté par l'intimée à une attestation de salaire. Dans la mesure où le versement de son salaire de CHF 11'000.- n’apparaît pas dans le relevé de son compte PostFinance, il est probable qu'il dispose d'un autre compte bancaire. Il faut également relever que le recourant n'a pas non plus fait état des deux versements d'Helvetia en octobre 2015, de CHF 169'448.- et CHF 169'446.05. Il a procédé à de nombreux et conséquents retraits d'argent sur son compte, lesquels étaient incompatibles avec la situation financière obérée dans laquelle il alléguait être, et l'on peut légitimement penser qu'une partie au moins de cet argent a été transférée sur un autre compte. Dans ces circonstances, quand bien même la situation financière du recourant n'a pas pu être établie avec certitude, faute de collaboration du recourant, il doit être retenu qu'il est établi, avec le degré de vraisemblance prépondérant requis par la jurisprudence, que la décision de compenser sa rente AVS n'atteint pas son minimum vital.</w:t>
      </w:r>
    </w:p>
    <w:p>
      <w:r>
        <w:rPr>
          <w:b/>
        </w:rPr>
        <w:t>E. 10</w:t>
      </w:r>
    </w:p>
    <w:p>
      <w:r>
        <w:t>Il y a ainsi lieu de confirmer la décision querellée et de rejeter le recours.</w:t>
      </w:r>
    </w:p>
    <w:p>
      <w:r>
        <w:rPr>
          <w:b/>
        </w:rPr>
        <w:t>E. 11</w:t>
      </w:r>
    </w:p>
    <w:p>
      <w:r>
        <w:t>Pour le surplus, la procédure est gratuite (art. 61 let. a LPGA).</w:t>
      </w:r>
    </w:p>
    <w:p>
      <w:r>
        <w:t>A/3306/2016 - 11/11 -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