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ATAS/275/2012 vom 13. März 2012</w:t>
      </w:r>
    </w:p>
    <w:p>
      <w:r>
        <w:t>GE Cour de justice, 2012-03-13, FR</w:t>
      </w:r>
    </w:p>
    <w:p>
      <w:r>
        <w:rPr>
          <w:b/>
        </w:rPr>
        <w:t xml:space="preserve">Quelle: </w:t>
      </w:r>
      <w:r>
        <w:t>https://mcp.opencaselaw.ch/entscheid/ge_gerichte_ATAS_275_2012</w:t>
      </w:r>
    </w:p>
    <w:p>
      <w:r>
        <w:t>FR: GE_GERICHTE ATAS/275/2012 du 13 mars 2012</w:t>
      </w:r>
    </w:p>
    <w:p>
      <w:r>
        <w:t>IT: GE_GERICHTE ATAS/275/2012 del 13 marzo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le droit de l'enfant au subside de l'assurance-maladie 2010.</w:t>
      </w:r>
    </w:p>
    <w:p>
      <w:r>
        <w:rPr>
          <w:b/>
        </w:rPr>
        <w:t>E. 4</w:t>
      </w:r>
    </w:p>
    <w:p>
      <w:r>
        <w:t>Conformément aux art. 65 et suivants LAMal, l'Etat de Genève accorde aux assurés de condition économique modeste des subsides destinés à la couverture totale ou partielle des primes de l'assurance-maladie (art. 19 al. 1 de la loi d'application de la loi fédérale sur l'assurance maladie du 29 mai 1997 - LaLAMal; J 3 05). Aux termes de l'art. 11 al. 2 du règlement d'exécution de la loi d'application de la loi fédérale sur l'assurance-maladie, du 15 décembre 1997 (RaLAMal ; RS J 3 05.01), "pour la réduction des primes de chaque enfant mineur à charge, le montant des subsides est le suivant : –</w:t>
      </w:r>
    </w:p>
    <w:p>
      <w:r>
        <w:t>Groupes A, B, C ou D1 : il couvre le montant de la prime mensuelle, mais s'élève au maximum à : 100 F par mois</w:t>
      </w:r>
    </w:p>
    <w:p>
      <w:r>
        <w:t>–</w:t>
      </w:r>
    </w:p>
    <w:p>
      <w:r>
        <w:t>Groupe D2 : 75 F par mois</w:t>
      </w:r>
    </w:p>
    <w:p>
      <w:r>
        <w:t>–</w:t>
      </w:r>
    </w:p>
    <w:p>
      <w:r>
        <w:t>Groupe D3 : il est égal à la moitié de la prime moyenne cantonale fixée par le Département fédéral de l'intérieur, arrondie au franc supérieur, mais s'élève au minimum à : 50 F par mois"</w:t>
      </w:r>
    </w:p>
    <w:p>
      <w:r>
        <w:t>A/53/2012 - 4/7 -</w:t>
      </w:r>
    </w:p>
    <w:p>
      <w:r>
        <w:rPr>
          <w:b/>
        </w:rPr>
        <w:t>E. 5</w:t>
      </w:r>
    </w:p>
    <w:p>
      <w:r>
        <w:t>La définition des assurés de condition économique modeste et la détermination du montant des subsides accordés à ces assurés est de la compétence du Conseil d'Etat (art. 3 al. 2 let. i LaLAMal).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d'«assurés de condition économique modeste». Aussi, le Tribunal fédéral des assurances a-t-il jugé que les règles édictées par les cantons en matière de réduction des primes dans l'assurance-maladie constituent du droit cantonal autonome. Selon l'art. 20 LaLAMal, et sous réserve des exceptions prévues par l'art. 27, les subsides sont destinés aux assurés de condition économique modeste et aux assurés bénéficiaires des prestations complémentaires à l'AVS/AI accordées par le Service des prestations complémentaires. Les assurés qui disposent d'une fortune brute ou d'un revenu annuel brut importants sont présumés n'être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(al. 3). Selon l'art. 21 LaLAMal, "Sous réserve des assurés visés par l’article 20, alinéas 2 et 3, le droit aux subsides est ouvert lorsque le revenu déterminant ne dépasse pas les limites fixées par le Conseil d’Etat. Le revenu déterminant est celui résultant de la loi sur le revenu déterminant le droit aux prestations sociales cantonales, du 19 mai 2005. Le droit aux subsides s’étend au conjoint, au partenaire enregistré et aux enfants à charge de l’ayant droit. Une personne assumant une charge légale est assimilée à un couple. Le Conseil d’Etat peut prévoir des limites de revenus permettant aux assurés n’ayant pas droit aux subsides en application de l’alinéa 1 de bénéficier de subsides pour réduire la prime de leurs enfants à charge."</w:t>
      </w:r>
    </w:p>
    <w:p>
      <w:r>
        <w:rPr>
          <w:b/>
        </w:rPr>
        <w:t>E. 6</w:t>
      </w:r>
    </w:p>
    <w:p>
      <w:r>
        <w:t>L'art. 10B al. 5 RaLAMal précise que "les montants à ne pas dépasser sont les suivant :</w:t>
      </w:r>
    </w:p>
    <w:p>
      <w:r>
        <w:t>A/53/2012 - 5/7 - a)</w:t>
      </w:r>
    </w:p>
    <w:p>
      <w:r>
        <w:t>Groupe D1</w:t>
      </w:r>
    </w:p>
    <w:p>
      <w:r>
        <w:t>assuré seul ou couple, avec une charge légale 72 000 F</w:t>
      </w:r>
    </w:p>
    <w:p>
      <w:r>
        <w:t>b)</w:t>
      </w:r>
    </w:p>
    <w:p>
      <w:r>
        <w:t>Groupe D2</w:t>
      </w:r>
    </w:p>
    <w:p>
      <w:r>
        <w:t>assuré seul ou couple, avec une charge légale 77 000 F</w:t>
      </w:r>
    </w:p>
    <w:p>
      <w:r>
        <w:t>c)</w:t>
      </w:r>
    </w:p>
    <w:p>
      <w:r>
        <w:t>Groupe D3</w:t>
      </w:r>
    </w:p>
    <w:p>
      <w:r>
        <w:t>assuré seul ou couple, avec une charge légale 82 000 F"</w:t>
      </w:r>
    </w:p>
    <w:p>
      <w:r>
        <w:rPr>
          <w:b/>
        </w:rPr>
        <w:t>E. 7</w:t>
      </w:r>
    </w:p>
    <w:p>
      <w:r>
        <w:t>La loi sur le revenu déterminant le droit aux prestations sociales cantonales (LRDU), adoptée le 19 mai 2005, a pour but de définir les éléments entrant dans le calcul du revenu déterminant le droit aux prestations sociales cantonales soumises à condition de revenu. Elle définit de façon détaillée les revenus entrant en considération et les déductions admissibles, en regard de la législation fiscale genevoise. Sont notamment admises au titre de déductions selon l'art. 5 LRDU, les cotisations sociales, les frais professionnels, de garde, les contributions d'entretien et les frais médicaux particulièrement élevés. La loi laisse au Conseil d'Etat la compétence d'édicter des dispositions d'application et d'exclure provisoirement de son champ d'application les prestations complémentaires et d'études. Selon l'art. 2 RRD, le revenu déterminant est établi sur la base de la situation économique du requérant deux ans avant l'année d'ouverture du droit aux prestations. La disposition est applicable à tous les assurés concernés. Les art. 3 et 4 RRD, relatifs aux contribuables imposés à la source et aux autres contribuables, prévoient, s'agissant des subsides de l'assurance-maladie, que le revenu déterminant est établi sur la base du salaire brut multiplié par 0.91.</w:t>
      </w:r>
    </w:p>
    <w:p>
      <w:r>
        <w:rPr>
          <w:b/>
        </w:rPr>
        <w:t>E. 8</w:t>
      </w:r>
    </w:p>
    <w:p>
      <w:r>
        <w:t>Dans le cas d'espèce, le revenu brut fiscal pour l'année 2010 s'élève à 103'048 fr., ce qui, multiplié par le coefficient de 0,91, équivaut à un revenu déterminant de 93'773 fr. , lequel dépasse le revenu déterminant 2010 d'un couple avec une charge légale, selon l'art. 10 B al. 5 let. c RaLAMal. C'est dès lors à bon droit que le SAM a nié le droit pour l'enfant au subside de l'assurance-maladie 2010.</w:t>
      </w:r>
    </w:p>
    <w:p>
      <w:r>
        <w:rPr>
          <w:b/>
        </w:rPr>
        <w:t>E. 9</w:t>
      </w:r>
    </w:p>
    <w:p>
      <w:r>
        <w:t>Aux termes de l'art. 33 al. 1 LaLAMAL, "les subsides indûment touchés doivent être restitués en appliquant par analogie l'article 25 de la loi fédérale sur la partie générale du droit des assurances sociales, du 6 octobre 2000. "</w:t>
      </w:r>
    </w:p>
    <w:p>
      <w:r>
        <w:t>A/53/2012 - 6/7 - Le SAM est en conséquence fondé à réclamer le paiement de la somme de 834 fr. 90, représentant les subsides versés à tort en faveur de l'enfant, du 1er janvier au 30 novembre 2010. En notifiant, le 3 décembre 2010, sa décision de restitution des prestations versées à tort du 1er janvier 2010 au 30 novembre 2010, il a respecté le délai d’un an et de cinq ans prescrit par l’art. 33 al. 2 LaLAMal.</w:t>
      </w:r>
    </w:p>
    <w:p>
      <w:r>
        <w:rPr>
          <w:b/>
        </w:rPr>
        <w:t>E. 10</w:t>
      </w:r>
    </w:p>
    <w:p>
      <w:r>
        <w:t>Aussi le recours est-il rejeté.</w:t>
      </w:r>
    </w:p>
    <w:p>
      <w:r>
        <w:rPr>
          <w:b/>
        </w:rPr>
        <w:t>E. 11</w:t>
      </w:r>
    </w:p>
    <w:p>
      <w:r>
        <w:t>Reste à attirer l'attention du représentant de l'enfant sur le fait qu'il a la possibilité de déposer une demande auprès du SAM visant à obtenir la remise de l'obligation de rembourser conformément à l'art. 25 LPGA, selon lequel la restitution ne peut être exigée lorsque l'intéressé était de bonne foi et qu'elle le mettrait dans une situation difficile. Il doit alors agir dans le délai de 30 jours à compter de l'entrée en force du présent jugement.</w:t>
      </w:r>
    </w:p>
    <w:p>
      <w:r>
        <w:t>A/53/2012 - 7/7 -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