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ATAS/275/2011 vom 16. März 2011</w:t>
      </w:r>
    </w:p>
    <w:p>
      <w:r>
        <w:t>GE Cour de justice, 2011-03-16, FR</w:t>
      </w:r>
    </w:p>
    <w:p>
      <w:r>
        <w:rPr>
          <w:b/>
        </w:rPr>
        <w:t xml:space="preserve">Quelle: </w:t>
      </w:r>
      <w:r>
        <w:t>https://mcp.opencaselaw.ch/entscheid/ge_gerichte_ATAS_275_2011</w:t>
      </w:r>
    </w:p>
    <w:p>
      <w:r>
        <w:t>FR: GE_GERICHTE ATAS/275/2011 du 16 mars 2011</w:t>
      </w:r>
    </w:p>
    <w:p>
      <w:r>
        <w:t>IT: GE_GERICHTE ATAS/275/2011 del 16 marzo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les procédures pendantes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b) En l’occurrence, la demanderesse disposait au moment du mariage, en date du 8 avril 2000, d’une prestation de libre passage de 1'463 fr. 55, selon le courrier du 9 décembre 2008 de Y____________ (SWITZERLAND) SA. Avec les intérêts jusqu’au moment du divorce, en date du 2 septembre 2010, ce montant s’élève à 1'940 fr. 60.</w:t>
      </w:r>
    </w:p>
    <w:p>
      <w:r>
        <w:t>A/3088/2010 4/5 Elle était également au bénéfice d’une prestation de libre passage au moment du mariage de 1'217 fr., selon le courrier du 11 novembre 2010 de la FONDATION DE LIBRE PASSAGE D’UBS SA. Ce montant s’élève à 1'614 fr. 30 avec les intérêts encourus jusqu’au moment du divorce. Par conséquent, le total des avoirs de vieillesse de la demanderesse au moment du mariage est de 3'554 fr. 90.</w:t>
      </w:r>
    </w:p>
    <w:p>
      <w:r>
        <w:rPr>
          <w:b/>
        </w:rPr>
        <w:t>E. 4</w:t>
      </w:r>
    </w:p>
    <w:p>
      <w:r>
        <w:t>En l’espèce, le juge de première instance a donné acte aux ex-époux de leur accord de partager par moitié des prestations de sortie acquises durant le mariage. Les dates pertinentes sont, d’une part, celle du mariage, le 8 avril 2000, d’autre part le 2 septembre 2010, date à laquelle le jugement de divorce est devenu exécutoire.</w:t>
      </w:r>
    </w:p>
    <w:p>
      <w:r>
        <w:rPr>
          <w:b/>
        </w:rPr>
        <w:t>E. 5</w:t>
      </w:r>
    </w:p>
    <w:p>
      <w:r>
        <w:t>Selon les renseignements recueillis, la prestation acquise pendant le mariage par le demandeur est de 103'113 fr. 60 tandis que celle acquise par la demanderesse est de 36'036 fr., après déduction de l’avoir de vieillesse au moment du mariage (39'590 fr 90 - 3'554 fr. 90). Ainsi le demandeur doit à son ex-épouse le montant de 51'556 fr. 80 fr. (103'113 fr. 60 : 2) et celle-ci lui doit le montant de 18'018 fr. (36'036 fr. : 2), de sorte que c’est le demandeur qui doit à son ex-épouse la somme de 33'538 fr.80.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A/3088/2010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