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ATAS/274/2020 vom 6. April 2020</w:t>
      </w:r>
    </w:p>
    <w:p>
      <w:r>
        <w:t>GE Cour de justice, 2020-04-06, FR</w:t>
      </w:r>
    </w:p>
    <w:p>
      <w:r>
        <w:rPr>
          <w:b/>
        </w:rPr>
        <w:t xml:space="preserve">Quelle: </w:t>
      </w:r>
      <w:r>
        <w:t>https://mcp.opencaselaw.ch/entscheid/ge_gerichte_ATAS_274_2020</w:t>
      </w:r>
    </w:p>
    <w:p>
      <w:r>
        <w:t>FR: GE_GERICHTE ATAS/274/2020 du 6 avril 2020</w:t>
      </w:r>
    </w:p>
    <w:p>
      <w:r>
        <w:t>IT: GE_GERICHTE ATAS/274/2020 del 6 aprile 2020</w:t>
      </w:r>
    </w:p>
    <w:p>
      <w:pPr>
        <w:pStyle w:val="Heading2"/>
      </w:pPr>
      <w:r>
        <w:t>Erwägungen</w:t>
      </w:r>
    </w:p>
    <w:p>
      <w:r>
        <w:rPr>
          <w:b/>
        </w:rPr>
        <w:t>E. 22</w:t>
      </w:r>
    </w:p>
    <w:p>
      <w:r>
        <w:t>Par écriture du 24 juin 2019, expédiée le lendemain, l’assuré a interjeté recours contre cette décision. Il demande la prise en charge de l’intervention pratiquée en mai 2019. Il explique que l’intervention pratiquée le 22 octobre 2018 n’a pas été suffisante et qu’une seconde intervention s’est révélée nécessaire.</w:t>
      </w:r>
    </w:p>
    <w:p>
      <w:r>
        <w:rPr>
          <w:b/>
        </w:rPr>
        <w:t>E. 23</w:t>
      </w:r>
    </w:p>
    <w:p>
      <w:r>
        <w:t>Invitée à se déterminer, l’intimée, dans sa réponse du 5 août 2019, a conclu au rejet du recours. L’intimée allègue avoir rendu en date du 3 janvier 2019 une décision indiquant à l’assuré que l’opération du 22 octobre 2018 avait été prise en charge à tort puisqu’elle n’avait pas porté sur le traitement de séquelles accidentelles et lui signifiant que les prestations d’assurance-accidents seraient supprimées à partir du</w:t>
      </w:r>
    </w:p>
    <w:p>
      <w:r>
        <w:rPr>
          <w:b/>
        </w:rPr>
        <w:t>E. 28</w:t>
      </w:r>
    </w:p>
    <w:p>
      <w:r>
        <w:t>février 2019, la poursuite du traitement étant, cas échéant, à charge de son assureur-maladie. Elle rappelle que cette décision n’a fait l’objet d’aucune opposition. La reprise de l’intervention du 22 octobre 2018 suite à des complications postopératoires telles qu’annoncées par le Dr H______ a donc donné logiquement lieu à un refus de prise en charge. En effet, dans la mesure où la décision du 3 janvier 2019 entrée en force constatait que le traitement du 18 octobre 2018 n’était pas dû à l’accident, mais relevait de la maladie, la reprise de l’intervention à charge de l’assureur-accidents était exclue. 24. Dans sa réplique du 28 août 2019, le recourant a confirmé avoir bien reçu le courrier de la SUVA du 3 janvier 2019 lui indiquant qu’il était mis un terme aux prestations avec effet au 28 février 2019. Il allègue que c’est parce qu’il pensait qu’au-delà de cette date, son genou serait rétabli qu’il n’a pas interjeté recours contre cette décision. Cependant, malgré les séances de physiothérapie, son genou ne s’est pas remis et une nouvelle IRM, en avril 2019, a confirmé la nécessité d’une seconde intervention, celle-ci étant une suite de celle du 22 octobre 2018. Le recourant estime que si la SUVA a pris en charge la première opération, elle doit assumer la seconde également. 25. Dans sa duplique du 25 septembre 2019, l’intimée a persisté dans ses conclusions en rejet du recours.</w:t>
      </w:r>
    </w:p>
    <w:p>
      <w:r>
        <w:t>A/2419/2019 - 8/14 - Elle répète une fois encore que l’assuré ne s’est pas opposé à sa décision du 3 janvier 2019, laquelle mentionnait expressément que la prise en charge de l’intervention du 22 octobre 2018 relevait d’une erreur.</w:t>
      </w:r>
    </w:p>
    <w:p>
      <w:r>
        <w:t>EN DROIT</w:t>
      </w:r>
    </w:p>
    <w:p>
      <w:r>
        <w:t>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1er janvier 2017 est entrée en vigueur la modification du 25 septembre 2015 de la LAA. Dans la mesure où l'accident est survenu après cette date, le droit aux prestations d'assurance est soumis au nouveau droit (cf. dispositions transitoires relatives à la modification du 25 septembre 2015; arrêt du Tribunal fédéral 8C_662/2016 du 23 mai 2017 consid. 2.2).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le bien-fondé du refus de l’intimée de prendre en charge l’opération pratiquée en mai 2019, consécutive à celle du 22 octobre 2018.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t>A/2419/2019 - 9/14 -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t>A/2419/2019 - 10/14 - 8.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A/2419/2019 - 11/14 -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w:t>
      </w:r>
    </w:p>
    <w:p>
      <w:r>
        <w:t>A/2419/2019 - 12/14 -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13. En l’occurrence, l’intimée n’est pas même entrée en matière sur la rechute annoncée par le recourant, qu’elle a considérée comme une « demande en révision » de sa décision du 3 janvier 2019, dont elle a argué qu’elle était entrée en force. Peu importait dès lors que, selon le Dr H______, le déficit d’extension soit en lien avec la reconstruction du LCA, dans la mesure où cette première intervention n’avait pas porté sur une séquelle de l’accident de septembre 2018. L’intimée allègue avoir rendu en date du 3 janvier 2019 une décision indiquant à l’assuré que l’opération du 22 octobre 2018 avait été prise en charge à tort puisqu’elle n’avait pas porté sur le traitement de séquelles accidentelles. La Cour de céans constate cependant que les faits ne sont pas aussi clairs que le laisse entendre l’intimée. En effet, à aucun moment dans sa décision du 3 janvier 2019, la SUVA n’indique avoir pris en charge l’intervention par erreur. Elle ne fait qu’évoquer le fait que, selon son médecin d’arrondissement, l’opération du 22 octobre 2018 n’aurait pas porté sur le traitement des séquelles de l’accident, sans en tirer aucune conclusion. Au contraire, non seulement elle prend en charge les frais de l’intervention en question, mais accepte au surplus de verser des prestations durant la période de convalescence, évaluée à seize semaines, c’est-à-dire jusqu’au 28 février 2019. Pas un instant, elle n’indique avoir fait une erreur et renoncer à y remédier par exemple. Dans ces conditions, on peut difficilement reprocher au recourant de n’avoir pas interjeté recours contre une décision qui lui donnait entièrement satisfaction. On ajoutera que l’intimée ne peut ainsi pas invoquer l’autorité de chose jugée d’une décision dont - au demeurant - le dispositif implicite reconnaissait à l’assuré le droit aux prestations qu’il réclamait pour refuser aujourd’hui d’examiner l’éventualité d’une rechute.</w:t>
      </w:r>
    </w:p>
    <w:p>
      <w:r>
        <w:t>A/2419/2019 - 13/14 - C’est le lieu de rappeler qu’il n’y a autorité de chose jugée que lorsque la prétention litigieuse est identique à celle qui a déjà fait l'objet d'un jugement passé en force (identité de l'objet du litige), ce qui n’est pas le cas en l’occurrence. Tel est le cas lorsque, dans l'un et l'autre procès, les parties ont soumis au juge la même prétention en se fondant sur la même cause juridique et sur les mêmes faits (ATF 125 III 241 consid. 1 p. 242; 123 III 16 consid. 2a p. 18; 121 III 474 consid. 4a p. 477; cf. également ATF 128 III 284 consid. 3b p. 286).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p. 18; 121 III 474 consid. 4a p. 477).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p. 744). Qui plus est, en principe, seul le dispositif d’une décision est revêtu de l'autorité de chose jugée ; à moins que le dispositif ne se réfère expressément aux considérants, ceux-ci n’acquièrent pas eux-mêmes la force matérielle. En l’occurrence, la décision du 3 janvier 2019 ne comporte pas formellement de dispositif, mais implicitement, comme déjà dit, celui-ci confirme la prise en charge de l’intervention pratiquée en octobre 2018 et de la période de convalescence encore en cours et ce, jusqu’au 28 février 2019. Là encore, l’intimée ne saurait donc en tirer argument pour refuser d’entrer en matière sur la rechute annoncée, au simple motif qu’elle a évoqué en passant, dans les considérants, l’opinion dissidente de son médecin d’arrondissement, qu’elle n’a finalement pas suivie. Eu égard aux considérations qui précèdent, l’intimée ne pouvait invoquer sa décision de janvier 2019 et faire l’économie de l’examen au fond de la rechute annoncée par l’assuré. En ce sens, le recours est partiellement admis et la cause renvoyée à l’intimée pour instruction et nouvelle décision.</w:t>
      </w:r>
    </w:p>
    <w:p>
      <w:r>
        <w:t>A/2419/2019 - 14/14 -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