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ATAS/273/2024 vom 22. April 2024</w:t>
      </w:r>
    </w:p>
    <w:p>
      <w:r>
        <w:t>GE Cour de justice, 2024-04-22, FR</w:t>
      </w:r>
    </w:p>
    <w:p>
      <w:r>
        <w:rPr>
          <w:b/>
        </w:rPr>
        <w:t xml:space="preserve">Quelle: </w:t>
      </w:r>
      <w:r>
        <w:t>https://mcp.opencaselaw.ch/entscheid/ge_gerichte_ATAS_273_2024</w:t>
      </w:r>
    </w:p>
    <w:p>
      <w:r>
        <w:t>FR: GE_GERICHTE ATAS/273/2024 du 22 avril 2024</w:t>
      </w:r>
    </w:p>
    <w:p>
      <w:r>
        <w:t>IT: GE_GERICHTE ATAS/273/2024 del 22 aprile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A/4351/2022 - 6/17 -</w:t>
      </w:r>
    </w:p>
    <w:p>
      <w:r>
        <w:rPr>
          <w:b/>
        </w:rPr>
        <w:t>E. 1.2</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l’espèce, le recourant a déposé une demande de prestations le 13 janvier 2021, en invoquant une incapacité de travail totale depuis le 1er octobre 2019, de sorte qu’un éventuel droit à une rente d’invalidité pourrait naitre en juillet 2021 ; partant, les dispositions légales applicables seront citées dans leur ancienne teneur.</w:t>
      </w:r>
    </w:p>
    <w:p>
      <w:r>
        <w:rPr>
          <w:b/>
        </w:rPr>
        <w:t>E. 1.3</w:t>
      </w:r>
    </w:p>
    <w:p>
      <w:r>
        <w:t>Interjeté en temps utile, le recours est recevable (art. 60 LPGA).</w:t>
      </w:r>
    </w:p>
    <w:p>
      <w:r>
        <w:rPr>
          <w:b/>
        </w:rPr>
        <w:t>E. 2</w:t>
      </w:r>
    </w:p>
    <w:p>
      <w:r>
        <w:t>Le litige porte sur le droit du recourant à une rente d’invalidité, singulièrement sur la question d’une aggravation de son état de santé depuis la dernière décision de l’intimé du 31 août 2017.</w:t>
      </w:r>
    </w:p>
    <w:p>
      <w:r>
        <w:rPr>
          <w:b/>
        </w:rPr>
        <w:t>E. 3</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4.1</w:t>
      </w:r>
    </w:p>
    <w:p>
      <w:r>
        <w:t>Les atteintes à la santé psychique peuvent, comme les atteintes physiques, entrainer une invalidité au sens de l'art. 4 al. 1 LAI en liaison avec l'art. 8 LPGA. On ne considère pas comme des conséquences d'un état psychique maladif, donc pas comme des affections à prendre en charge par l'assurance-invalidité, les</w:t>
      </w:r>
    </w:p>
    <w:p>
      <w:r>
        <w:t>A/4351/2022 - 7/17 -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w:t>
      </w:r>
    </w:p>
    <w:p>
      <w:r>
        <w:rPr>
          <w:b/>
        </w:rPr>
        <w:t>E. 4.2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4.3</w:t>
      </w:r>
    </w:p>
    <w:p>
      <w:r>
        <w:t>;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4.4</w:t>
      </w:r>
    </w:p>
    <w:p>
      <w:r>
        <w:t>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Le caractère primaire ou secondaire d’un trouble de la dépendance n’est plus décisif pour en nier d’emblée toute pertinence sous l’angle du droit de l’assurance-invalidité (arrêt du Tribunal fédéral 9C_618/2019 du 16 mars 2020 consid. 8.1.1). Par conséquent, il s’agit, comme pour tous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w:t>
      </w:r>
    </w:p>
    <w:p>
      <w:r>
        <w:rPr>
          <w:b/>
        </w:rPr>
        <w:t>E. 4.5</w:t>
      </w:r>
    </w:p>
    <w:p>
      <w:r>
        <w:t>En ce qui concerne l'évaluation du caractère invalidant des affections psychosomatiques et psychiques, l'appréciation de la capacité de travail par un</w:t>
      </w:r>
    </w:p>
    <w:p>
      <w:r>
        <w:t>A/4351/2022 - 9/17 - médecin psychiatre est soumise à un contrôle (libre) des organes chargés de l'application du droit à la lumière de l'ATF 141 V 281 (ATF 145 V 361 consid.</w:t>
      </w:r>
    </w:p>
    <w:p>
      <w:r>
        <w:rPr>
          <w:b/>
        </w:rPr>
        <w:t>E. 5</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w:t>
      </w:r>
    </w:p>
    <w:p>
      <w:r>
        <w:t>A/4351/2022 - 10/17 - sensible de l’état de santé, mais aussi lorsque celui-ci est resté en soi le même, mais que ses conséquences sur la capacité de gain ont subi un changement important (ATF 144 I 103 consid. 2.1 ;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w:t>
      </w:r>
    </w:p>
    <w:p>
      <w:r>
        <w:rPr>
          <w:b/>
        </w:rPr>
        <w:t>E. 6.1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t>A/4351/2022 - 11/17 -</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6.3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6.4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w:t>
      </w:r>
    </w:p>
    <w:p>
      <w:r>
        <w:t>A/4351/2022 - 12/17 - 9C_542/2011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8</w:t>
      </w:r>
    </w:p>
    <w:p>
      <w:r>
        <w:t>En l’occurrence, la chambre de céans a estimé qu’une expertise psychiatrique judiciaire était nécessaire, vu les avis médicaux divergents du psychiatre traitant et de l’expert psychiatre du I______.</w:t>
      </w:r>
    </w:p>
    <w:p>
      <w:r>
        <w:rPr>
          <w:b/>
        </w:rPr>
        <w:t>E. 8.1</w:t>
      </w:r>
    </w:p>
    <w:p>
      <w:r>
        <w:t>Fondé sur les pièces du dossier, comprenant une anamnèse personnelle, familiale, addictologique, la description d’une journée-type, un status clinique, des diagnostics et limitations fonctionnelles clairs ainsi qu’une évaluation motivée et convaincante de la capacité de travail du recourant, le rapport d’expertise judiciaire du 5 mars 2024 remplit les critères jurisprudentiels précités pour qu’il lui soit reconnu une pleine valeur probante.</w:t>
      </w:r>
    </w:p>
    <w:p>
      <w:r>
        <w:rPr>
          <w:b/>
        </w:rPr>
        <w:t>E. 8.2</w:t>
      </w:r>
    </w:p>
    <w:p>
      <w:r>
        <w:t>Les parties admettent la valeur probante de cette expertise, sous réserve, pour l’intimé, de la date de survenance de l’incapacité de travail totale, laquelle a été fixée à au moins cinq ans (2019) par les experts judiciaires et est estimée comme étant postérieure à la décision litigieuse par l’intimé. En effet, le SMR relève que l’état de santé du recourant s’est aggravé et est totalement incapacitant depuis la modification de sa consommation de substances, par la prise de cocaïne sous forme de crack depuis un an selon l’anamnèse, et une perte de poids de 50 kg, soit postérieurement au 15 novembre 2022.</w:t>
      </w:r>
    </w:p>
    <w:p>
      <w:r>
        <w:rPr>
          <w:b/>
        </w:rPr>
        <w:t>E. 8.2.1</w:t>
      </w:r>
    </w:p>
    <w:p>
      <w:r>
        <w:t>À cet égard, les experts ont indiqué que la capacité de travail du recourant était nulle depuis 2019 en raison de l’association des diagnostics (expertise judiciaire p. 14), ou encore depuis au moins cinq ans (expertise judiciaire p. 15), date qui n’a d’ailleurs pas été discutée par le SMR. Ils ont précisé que l’état de</w:t>
      </w:r>
    </w:p>
    <w:p>
      <w:r>
        <w:t>A/4351/2022 - 13/17 - santé s’était nettement détérioré en lien avec la consommation de cocaïne / crack (expertise judiciaire p. 9). L’anamnèse addictologique relève que le recourant regrette d’avoir rechuté bêtement il y a de cela tout juste une année, après un sevrage à l’alcool (expertise judiciaire p. 4). Or, le premier entretien du recourant avec les experts a eu lieu le 7 novembre 2023, de sorte que la déclaration du recourant quant à une rechute de consommation survenue un an auparavant permet de conclure à une aggravation de l’état de santé de celui-ci courant novembre 2022. On comprend ainsi des explications des experts qu’à partir de novembre 2022, l’état de santé du recourant s’est nettement détérioré, par une rechute de consommation de cocaïne / crack et une perte de poids qui s’en est suivie de plus de 50 kg. Cela dit, les experts ont néanmoins estimé que l’incapacité totale de travail était antérieure à novembre 2022, puisqu’elle était présente depuis cinq ans, ce qui recule la survenance de l’incapacité de travail à courant 2019. Or, cette date est cohérente avec celle retenue par le Dr H______ comme point de départ d’une aggravation de l’état de santé du recourant, avec une incapacité de travail totale signalée depuis octobre 2019 (rapport du Dr H______ du 21 décembre 2020).</w:t>
      </w:r>
    </w:p>
    <w:p>
      <w:r>
        <w:rPr>
          <w:b/>
        </w:rPr>
        <w:t>E. 8.2.2</w:t>
      </w:r>
    </w:p>
    <w:p>
      <w:r>
        <w:t>Cela dit, la chambre de céans constate que le suivi avec le Dr H______ a débuté le 2 septembre 2020 et que, dans son rapport du 21 décembre 2020, le Dr H______ indique que des démarches ont été entreprises en vue d’une mesure de protection de gestion et de représentation du recourant qui lui parait tout à fait appropriée. Il a encore souligné que c’est en raison d’une aggravation de l’état de santé du recourant que celui-ci a été mis sous curatelle de représentation par ordonnance du TPAE du 28 août 2021 (rapport du Dr H______ du 12 octobre 2022 et ordonnance du TPAE du 28 août 2021). Au vu de ces faits, il convient de retenir que l’aggravation de l’état de santé du recourant entrainant une incapacité de travail totale est établie à tout le moins au moment du début du suivi par le Dr H______, en septembre 2020, puisque celui- ci a constaté une incapacité de travail totale dès sa prise en charge, soit en temps réel, moment qui coïncide aussi avec une demande de mise sous curatelle par le TPAE, finalement prononcée en avril 2021. Par ailleurs, l’expertise du Dr J______, dont l’examen clinique a eu lieu le 31 mars 2022, ne saurait faire obstacle à une reconnaissance d’une incapacité de travail totale du recourant depuis septembre 2020, dès lors qu’elle n’est pas convaincante. En effet, l’expert J______ estime que la problématique d’abus de substance est primaire et que les psychiatres traitants ont omis de se prononcer sur le caractère primaire ou secondaire des dépendances aux substances (expertise du Dr J______ pp. 26-27), alors même que cette classification n’est plus pertinente. En conséquence, son évaluation, par ailleurs très sommaire, selon laquelle le</w:t>
      </w:r>
    </w:p>
    <w:p>
      <w:r>
        <w:t>A/4351/2022 - 14/17 - syndrome de dépendance primaire n’entraine pas de limitations fonctionnelles, n’est pas convaincante et ne peut être suivie (expertise du Dr J______ p. 27). Ensuite, comme relevé par le Dr H______, le Dr J______ écarte tout trouble de la personnalité alors que celui-ci a été retenu par les autres médecins ou experts intervenants, sans motivation. Enfin, le Dr H______ relève que lors de ses premières rencontres avec le recourant, celui-ci avait cherché à montrer un côté jovial, boute-en-train qui avait beaucoup d’amis et qui serait populaire auprès des femmes ; or, par la suite un tout autre tableau avait émergé, avec une personne effondrée, triste, solitaire et évitant au maximum les contacts sociaux (rapport du Dr H______ du 12 octobre 2022). Il avait été frappé par le décalage entre la description du quotidien du recourant et un discours visant à donner une bonne image de lui-même. Il avait ensuite pu être lui-même et la thymie était beaucoup plus abaissée, avec des idées noires permanentes, une anhédonie, des difficultés à passer le temps, un sentiment d’insuffisance permanent, des idées suicidaires récurrentes, des affects congruents à l’humeur, des troubles du sommeil, des épisodes de sidération et d’incapacité à se mobiliser et des ruminations permanentes (rapport du Dr H______ du 21 décembre 2020). Cette analyse permet de mettre en doute les constatations effectuées par l’expert J______, sans analyse approfondie et sur la base d’un seul entretien, selon lesquelles le recourant est souriant, il plaisante, il a de l’humour (expertise du Dr J______ p. 26) et il accueille régulièrement ses enfants et petits- enfants ainsi que son ex-compagne (expertise du Dr J______ p. 21). Pour toutes ces raisons, cette expertise n’est pas probante. Au surplus, il convient de relever que le SMR estime que lors de l’expertise du Dr J______, le recourant pesait 160 kg et décrivait un poids stable depuis plusieurs mois. Or, la Dre K______, qui a examiné le recourant onze jours après le Dr J______, a mentionné un poids de 94 kg (expertise de la Dre K______ p. 20) et on constate que le Dr J______ cite un poids non pas de 160 kg mais culminant à 160 kg lors du dernier sevrage à la cocaïne (2015-2018), de sorte que l’analyse du SMR est à cet égard erronée.</w:t>
      </w:r>
    </w:p>
    <w:p>
      <w:r>
        <w:rPr>
          <w:b/>
        </w:rPr>
        <w:t>E. 8.2.3</w:t>
      </w:r>
    </w:p>
    <w:p>
      <w:r>
        <w:t>Au demeurant, l’aggravation de l’état de santé du recourant, totalement incapacitante, est établie depuis septembre 2020, étant à cet égard rappelé qu’il existe certaines constellations, comme c’est le cas en l’espèce, dans lesquelles il convient de s’écarter de l’incapacité de travail déterminée par une expertise médicale, sans que celle-ci n’en perde sa valeur probante (arrêt du Tribunal fédéral 9C_316/2017 du 5 octobre 2017).</w:t>
      </w:r>
    </w:p>
    <w:p>
      <w:r>
        <w:rPr>
          <w:b/>
        </w:rPr>
        <w:t>E. 9</w:t>
      </w:r>
    </w:p>
    <w:p>
      <w:r>
        <w:t>Au vu de ce qui précède, il y a lieu de constater que l’état de santé du recourant s’est aggravé depuis la dernière décision de l’intimé du 31 août 2017, de sorte qu’un cas de révision est réalisé.</w:t>
      </w:r>
    </w:p>
    <w:p>
      <w:r>
        <w:t>A/4351/2022 - 15/17 - Le recourant étant totalement incapable de travailler depuis septembre 2020, il a droit, depuis septembre 2021, à une rente entière d’invalidité, sa demande de prestations ayant été déposée en janvier 2021 (art. 29 al. 1 LAI).</w:t>
      </w:r>
    </w:p>
    <w:p>
      <w:r>
        <w:rPr>
          <w:b/>
        </w:rPr>
        <w:t>E. 10.1</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apparait peu opportun au regard du principe de l'égalité des armes (ATF 139 V 225 consid. 4.3). Cette règle ne saurait entrainer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10.2</w:t>
      </w:r>
    </w:p>
    <w:p>
      <w:r>
        <w:t>En l’occurrence, les frais de l’expertise judiciaire seront mis à la charge de l’intimé. En effet, l’expertise du Dr J______ comporte une analyse erronée du caractère incapacitant du syndrome de dépendance dont souffre le recourant, en se bornant à le qualifier de primaire, de sorte que l’intimé ne pouvait la déclarer probante et faire l’économie d’une instruction psychiatrique complémentaire.</w:t>
      </w:r>
    </w:p>
    <w:p>
      <w:r>
        <w:t>A/4351/2022 - 16/17 -</w:t>
      </w:r>
    </w:p>
    <w:p>
      <w:r>
        <w:rPr>
          <w:b/>
        </w:rPr>
        <w:t>E. 10.3</w:t>
      </w:r>
    </w:p>
    <w:p>
      <w:r>
        <w:t>Le recourant, représenté par ses curatrices, collaboratrices d'un service de l'État, ne peut prétendre à l'allocation de dépens devant l'autorité judiciaire cantonale, faute de justification économique (ATF 126 V 11 consid. 2 et 5). Au vu du sort du recours, il y a lieu de condamner l’intimé au paiement d'un émolument de CHF 200.- (art. 69 al. 1 bis LAI).</w:t>
      </w:r>
    </w:p>
    <w:p>
      <w:r>
        <w:t>A/4351/2022 - 17/17 -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