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ATAS/273/2015 vom 15. April 2015</w:t>
      </w:r>
    </w:p>
    <w:p>
      <w:r>
        <w:t>GE Cour de justice, 2015-04-15, FR</w:t>
      </w:r>
    </w:p>
    <w:p>
      <w:r>
        <w:rPr>
          <w:b/>
        </w:rPr>
        <w:t xml:space="preserve">Quelle: </w:t>
      </w:r>
      <w:r>
        <w:t>https://mcp.opencaselaw.ch/entscheid/ge_gerichte_ATAS_273_2015</w:t>
      </w:r>
    </w:p>
    <w:p>
      <w:r>
        <w:t>FR: GE_GERICHTE ATAS/273/2015 du 15 avril 2015</w:t>
      </w:r>
    </w:p>
    <w:p>
      <w:r>
        <w:t>IT: GE_GERICHTE ATAS/273/2015 del 15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articles 56ss LPGA.</w:t>
      </w:r>
    </w:p>
    <w:p>
      <w:r>
        <w:t>A/1047/2014 - 8/14 -</w:t>
      </w:r>
    </w:p>
    <w:p>
      <w:r>
        <w:rPr>
          <w:b/>
        </w:rPr>
        <w:t>E. 5</w:t>
      </w:r>
    </w:p>
    <w:p>
      <w:r>
        <w:t>Le litige porte sur le droit de la recourante à des prestations de l’assurance- invalidité, singulièrement sur son degré d’invalidité.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convient de rappeler que tant lors de l'examen initial du droit à la rente qu'à l'occasion d'une révision de celle-ci (art. 17 LPGA), il faut examiner sous l'angle des articles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w:t>
      </w:r>
    </w:p>
    <w:p>
      <w:r>
        <w:t>A/1047/2014 - 9/14 -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t>A/1047/2014 - 10/14 -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Par ailleurs,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A/1047/2014 - 11/14 -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Cela étant,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9</w:t>
      </w:r>
    </w:p>
    <w:p>
      <w:r>
        <w:t>En l’espèce, l’intimé a fondé sa décision essentiellement sur deux expertises, soit une expertise rhumatologique réalisée le 7 décembre 2011 par le Dr G______ à la demande de l’assureur-maladie et une expertise psychiatrique réalisée par le Dr I______ le 29 janvier 2013. Sur le plan somatique, l’expert rhumatologue a diagnostiqué des lombo-pseudo- sciatalgies bilatérales chroniques et un status après chirurgie de L4-L5 le 3 septembre 2010. La capacité de travail dans l’activité habituelle de caissière est de 50% d’un plein temps, avec horaire partagé entre le matin et l’après-midi ; dans une activité adaptée respectant les limitations fonctionnelles, elle est de 90%, en tenant compte d’une diminution de rendement.</w:t>
      </w:r>
    </w:p>
    <w:p>
      <w:r>
        <w:t>A/1047/2014 - 12/14 - Pour les médecins traitants, en revanche, l’incapacité de travail est totale depuis septembre 2010 déjà (cf. rapports des Drs C______, E______, K______). Sur le plan psychiatrique, l’expert a diagnostiqué un trouble anxieux et dépressif mixte, avec influence sur la capacité de travail. L’épisode dépressif léger entraîne une diminution de rendement d’environ 20%. A titre de diagnostic sans répercussion sur la capacité de travail, l’expert a retenu un trouble somatoforme persistant, présent depuis environ trois ans. L’expert conclut finalement que le trouble dépressif léger et le syndrome douloureux somatoforme persistant n’ont pas de répercussion sur la capacité de travail, avant d’ajouter que néanmoins le trouble dépressif léger diminue le rendement de 20% depuis septembre 2010. Force est de constater que les conclusions de l’expert apparaissent pour le moins contradictoires. Partant, pleine valeur probante ne saurait être reconnue à l’expertise psychiatrique. Le Dr D______, psychiatre traitant, avait quant à lui diagnostiqué une dépression récurrente de degré moyen, depuis 2003, et attesté d’une incapacité de travail totale du 3 septembre 2010 au 23 novembre 2011. Par la suite, la recourante n’a pas poursuivi la psychothérapie. Cela étant, la recourante invoque une aggravation de son état de santé du point de vue somatique, documents à l’appui. L’IRM lombaire réalisée le 7 avril 2014 à la demande du Dr K______ a mis en évidence des séquelles de laminectomie L4-L5 et au niveau L3-L4, un rétrécissement du canal rachidien et la présence d’une hernie intraforaminale du côté droit comprimant le passage de la racine L3. Selon le Dr K______, l’incapacité de travail est totale et il y a indication à rediscuter d’une solution chirurgicale. Se fondant sur l’avis du SMR, l’intimé admet certes, une aggravation objective, mais considère qu’elle est postérieure à sa décision. Au vu des documents produits, la chambre de céans relève toutefois que la recourante a été vue en consultation le 16 février 2014 par le Dr M______ et que ce dernier a constaté à l’examen clinique, confirmé par le bilan paraclinique, une lésion transfixiante du tendon du sus-épineux avec rétraction de stade 1 et une arthropathie acromio-claviculaire. Il a proposé une réinsertion sous arthroscopie. De plus, le Dr K______ fait état dans son rapport du 6 octobre 2014, d’une aggravation depuis l’intervention de 2010 : la patiente avait ainsi été revue par les neurochirurgiens des HUG le 18 octobre 2012. Par ailleurs, la recourante avait été examinée le 3 février 2012 par le Dr H______, neurochirurgien FMH, pour des lombalgies exacerbées et une discopathie inflammatoire L3-L4 après recalibration bilatérale L4-L5. Dans leur rapport du 7 novembre 2012, les neurochirurgiens des HUG se réfèrent à une nouvelle IRM du 29 septembre 2012 qui a mis en évidence une légère augmentation de la taille de la hernie connue L3-L4 extra-foraminale du côté droit avec un conflit radiculaire L3 à droite. Par conséquent, contrairement à ce que l’intimé soutient, il convient d’admettre que les faits objectifs relatifs à l’aggravation de l’état de santé de la recourante étaient</w:t>
      </w:r>
    </w:p>
    <w:p>
      <w:r>
        <w:t>A/1047/2014 - 13/14 - déjà présents avant la décision querellée du 6 mars 2014. Ils sont de surcroît postérieurs à l’expertise rhumatologique du 7 décembre 2011, trop ancienne, que l’on ne peut dès lors pas retenir pour se prononcer sur l’atteinte à la santé de la recourante au moment de la décision litigieuse. Au vu de ce qui précède, la chambre de céans considère qu’elle n’est pas à même de se prononcer en toute connaissance de cause et qu’il convient de compléter l’instruction et procéder à des investigations complémentaires. La cause est en conséquence renvoyée à l’intimé pour qu’il procède à des investigations médicales complémentaires, cas échéant sous la forme d’une nouvelle expertise à confier à un/des experts indépendants.</w:t>
      </w:r>
    </w:p>
    <w:p>
      <w:r>
        <w:rPr>
          <w:b/>
        </w:rPr>
        <w:t>E. 10</w:t>
      </w:r>
    </w:p>
    <w:p>
      <w:r>
        <w:t>Le recours est partiellement admis.</w:t>
      </w:r>
    </w:p>
    <w:p>
      <w:r>
        <w:rPr>
          <w:b/>
        </w:rPr>
        <w:t>E. 11</w:t>
      </w:r>
    </w:p>
    <w:p>
      <w:r>
        <w:t>La recourante, qui obtient gain de cause, a droit à une participation à ses frais et dépens, fixée en l’espèce à CHF 3'000.- (art. 61 let. g LPGA ; art. 6 du règlement sur les frais, émoluments et indemnités en procédure administrative du 30 juillet 1986 (RFPA - E 5 10.03). Au vu du sort du litige, l’émolument, arrêté à CHF 500.-, est mis à la charge de l’intimé (art. 69 al. 1bis LAI).</w:t>
      </w:r>
    </w:p>
    <w:p>
      <w:r>
        <w:t>A/1047/2014 - 14/14 -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