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ATAS/272/2026 vom 19. März 2026</w:t>
      </w:r>
    </w:p>
    <w:p>
      <w:r>
        <w:t>GE Cour de justice, 2026-03-19, FR</w:t>
      </w:r>
    </w:p>
    <w:p>
      <w:r>
        <w:rPr>
          <w:b/>
        </w:rPr>
        <w:t xml:space="preserve">Quelle: </w:t>
      </w:r>
      <w:r>
        <w:t>https://mcp.opencaselaw.ch/entscheid/ge_gerichte_ATAS_272_2026</w:t>
      </w:r>
    </w:p>
    <w:p>
      <w:r>
        <w:t>FR: GE_GERICHTE ATAS/272/2026 du 19 mars 2026</w:t>
      </w:r>
    </w:p>
    <w:p>
      <w:r>
        <w:t>IT: GE_GERICHTE ATAS/272/2026 del 19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le délai prévu par la loi,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w:t>
      </w:r>
    </w:p>
    <w:p>
      <w:r>
        <w:t>A/3543/2025 - 5/9 -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2.2</w:t>
      </w:r>
    </w:p>
    <w:p>
      <w:r>
        <w:t>En l’occurrence, un éventuel droit à une rente d’invalidité naîtrait au plus tôt en octobre 2024, soit six mois après le dépôt de la demande du 4 avril 2024 (cf. art. 29 al. 1 LAI), de sorte que les dispositions légales applicables seront citées dans leur nouvelle teneur.</w:t>
      </w:r>
    </w:p>
    <w:p>
      <w:r>
        <w:rPr>
          <w:b/>
        </w:rPr>
        <w:t>E. 3</w:t>
      </w:r>
    </w:p>
    <w:p>
      <w:r>
        <w:t>Le litige porte sur le droit du recourant à d’éventuelles prestations de l’assurance- invalidité, plus particulièrement sur l’existence d’une atteinte à la santé invalidante au sens de la loi à l’issue du délai de carence d’une année.</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4.3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t>A/3543/2025 - 6/9 -</w:t>
      </w:r>
    </w:p>
    <w:p>
      <w:r>
        <w:rPr>
          <w:b/>
        </w:rPr>
        <w:t>E. 4.4</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w:t>
      </w:r>
    </w:p>
    <w:p>
      <w:r>
        <w:rPr>
          <w:b/>
        </w:rPr>
        <w:t>E. 4.5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4.5.1</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w:t>
      </w:r>
    </w:p>
    <w:p>
      <w:r>
        <w:t>A/3543/2025 - 7/9 - rapports médicaux (ATF 136 V 376 consid. 4.1 ; arrêt du Tribunal fédéral 8C_160/2025 du 27 octobre 2025 consid. 5.2 et la référence).</w:t>
      </w:r>
    </w:p>
    <w:p>
      <w:r>
        <w:rPr>
          <w:b/>
        </w:rPr>
        <w:t>E. 4.5.2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5</w:t>
      </w:r>
    </w:p>
    <w:p>
      <w:r>
        <w:t>En l’espèce, la décision litigieuse repose sur l’avis du SMR qui, après examen des différents rapports recueillis auprès des médecins traitants, a conclu à l’absence de limitation fonctionnelle et d’atteinte à la santé invalidante au-delà du 27 octobre 2024. Le recourant, dans la très brève motivation de son recours, se contente d’invoquer l’atteinte à son membre supérieur droit, dont il allègue qu’elle ne lui permet que d’accomplir les gestes de la vie quotidienne. Il est vrai que son médecin traitant, le Dr B______, a conclu en ce sens. Il a cependant également précisé que, lors de la dernière consultation, le 26 octobre 2024, l’assuré était apte à exercer à plein temps une activité adaptée, décrite comme administrative. Or, c’est précisément en cela que consiste l’activité habituelle exercée par le recourant. C’est la raison pour laquelle le SMR a jugé qu’à compter de cette consultation, il n’y avait plus d’incapacité à exercer l’activité habituelle dans le domaine administratif.</w:t>
      </w:r>
    </w:p>
    <w:p>
      <w:r>
        <w:t>A/3543/2025 - 8/9 - C’est ainsi à juste titre que l’intimé a constaté que l’incapacité débutée le jour de l’accident, soit le 12 novembre 2023, ayant duré moins d’une année, les conditions d’ouverture d’un éventuel droit aux prestations n’étaient pas remplies. Eu égard aux considérations qui précèdent, la décision litigieuse s’avère justifiée et le recours manifestement infondé. Il est donc rejeté.</w:t>
      </w:r>
    </w:p>
    <w:p>
      <w:r>
        <w:t>***</w:t>
      </w:r>
    </w:p>
    <w:p>
      <w:r>
        <w:t>A/3543/2025 - 9/9 -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