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ATAS/272/2024 vom 22. April 2024</w:t>
      </w:r>
    </w:p>
    <w:p>
      <w:r>
        <w:t>GE Cour de justice, 2024-04-22, FR</w:t>
      </w:r>
    </w:p>
    <w:p>
      <w:r>
        <w:rPr>
          <w:b/>
        </w:rPr>
        <w:t xml:space="preserve">Quelle: </w:t>
      </w:r>
      <w:r>
        <w:t>https://mcp.opencaselaw.ch/entscheid/ge_gerichte_ATAS_272_2024</w:t>
      </w:r>
    </w:p>
    <w:p>
      <w:r>
        <w:t>FR: GE_GERICHTE ATAS/272/2024 du 22 avril 2024</w:t>
      </w:r>
    </w:p>
    <w:p>
      <w:r>
        <w:t>IT: GE_GERICHTE ATAS/272/2024 del 22 aprile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2.1</w:t>
      </w:r>
    </w:p>
    <w:p>
      <w:r>
        <w:t>À teneur de l'art. 1 al. 1 LAI, les dispositions de la LPGA s'appliquent à l'assurance-invalidité, à moins que la loi n'y déroge expressément.</w:t>
      </w:r>
    </w:p>
    <w:p>
      <w:r>
        <w:rPr>
          <w:b/>
        </w:rPr>
        <w:t>E. 2.2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2.3</w:t>
      </w:r>
    </w:p>
    <w:p>
      <w:r>
        <w:t>Le 1er janvier 2022 sont entrées en vigueur les modifications de la LAI du 19 juin 2020 (développement continu de l’AI ; RO 2021 705) ainsi que celles du 3 novembre 2021 du règlement sur l’assurance-invalidité du 17 janvier 1961 (RAI - RS 831.201;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 premier octroi de rente dont le droit est né avant le 1er janvier 2022, de sorte que les dispositions légales applicables seront citées dans leur ancienne teneur.</w:t>
      </w:r>
    </w:p>
    <w:p>
      <w:r>
        <w:t>A/3450/2022 - 9/14 -</w:t>
      </w:r>
    </w:p>
    <w:p>
      <w:r>
        <w:rPr>
          <w:b/>
        </w:rPr>
        <w:t>E. 3</w:t>
      </w:r>
    </w:p>
    <w:p>
      <w:r>
        <w:t>Le délai de recours est de trente jours (art. 56 LPGA ; art. 62 al. 1 de la loi sur la procédure administrative du 12 septembre 1985 [LPA - E 5 10]). Interjeté dans la forme et le délai prévus par la loi, compte tenu du fait qu’un recours déposé devant une autorité incompétente doit être transmis d’office à la juridiction administrative compétente (comme y a procédé l'intimé) et le recourant en être averti, l’acte de recours étant réputé déposé à la date à laquelle il a été adressé à la première autorité (art. 64 al. 2 et 89A LPA ; cf. aussi art. 30 et 58 al. 3 LPGA), le recours est recevable.</w:t>
      </w:r>
    </w:p>
    <w:p>
      <w:r>
        <w:rPr>
          <w:b/>
        </w:rPr>
        <w:t>E. 3.2</w:t>
      </w:r>
    </w:p>
    <w:p>
      <w:r>
        <w:t>et les références ; ATF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w:t>
      </w:r>
    </w:p>
    <w:p>
      <w:r>
        <w:t>A/3450/2022 - 11/14 -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4</w:t>
      </w:r>
    </w:p>
    <w:p>
      <w:r>
        <w:t>Compte tenu des dernières conclusions des parties, le litige porte sur le droit de la recourante à une rente d'invalidité supérieure à une demi-rente postérieurement à juillet 2021.</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 Dans le cadre d'une révision de rente dans la constellation susvisée, la date de la modification est déterminée conformément à l'art. 88a RAI (ATF 131 V 164 consid. 2.2 p. 165 ; ATF 125 V 413 consid. 2d ; arrêt du Tribunal fédéral 9C_134/2015 consid. 4.1 et les références). En revanche, l'art. 88bis RAI n'est pas applicable dans cette éventualité, du moment que l'on ne se trouve pas en présence d'une révision de la rente au sens strict (ATF 125 V 413 consid. 2d ; arrêt du Tribunal fédéral I 621/04 du 12 octobre 2005 consid. 3.2 et les références ; voir aussi le ch. 4018 de la Circulaire de l'OFAS sur l'invalidité et l'impotence dans l'assurance-invalidité [CIIAI], valable à partir du 1er janvier 2013).</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w:t>
      </w:r>
    </w:p>
    <w:p>
      <w:r>
        <w:t>A/3450/2022 - 10/14 - prises en compte pour juger de la présence d’une incapacité de gain. De plus, il n’y a incapacité de gain que si celle-ci n’est pas objectivement surmontable (al. 2 en vigueur dès le 1er janvier 2008).</w:t>
      </w:r>
    </w:p>
    <w:p>
      <w:r>
        <w:rPr>
          <w:b/>
        </w:rPr>
        <w:t>E. 6.2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6.3</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7.1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w:t>
      </w:r>
    </w:p>
    <w:p>
      <w:r>
        <w:rPr>
          <w:b/>
        </w:rPr>
        <w:t>E. 7.2</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t>A/3450/2022 - 12/14 -</w:t>
      </w:r>
    </w:p>
    <w:p>
      <w:r>
        <w:rPr>
          <w:b/>
        </w:rPr>
        <w:t>E. 9</w:t>
      </w:r>
    </w:p>
    <w:p>
      <w:r>
        <w:t>En l’espèce, la chambre de céans a estimé qu’une instruction médicale complémentaire se justifiait, par la mise en œuvre d’une expertise judiciaire bidisciplinaire rhumatologique et psychiatrique. Celle-ci conclut à une capacité de travail de la recourante de 50% dès le 1er avril 2021, dans une activité adaptée aux limitations fonctionnelles retenues.</w:t>
      </w:r>
    </w:p>
    <w:p>
      <w:r>
        <w:rPr>
          <w:b/>
        </w:rPr>
        <w:t>E. 9.1</w:t>
      </w:r>
    </w:p>
    <w:p>
      <w:r>
        <w:t>Fondé sur toutes les pièces du dossier, relatant les plaintes de la recourante, comprenant une anamnèse complète, une description d’une journée-type, posant des diagnostics et limitations fonctionnelles clairs, le rapport d’expertise judiciaire bidisciplinaire répond aux critères jurisprudentiels précités pour qu’il lui soit reconnu une pleine valeur probante.</w:t>
      </w:r>
    </w:p>
    <w:p>
      <w:r>
        <w:rPr>
          <w:b/>
        </w:rPr>
        <w:t>E. 9.2</w:t>
      </w:r>
    </w:p>
    <w:p>
      <w:r>
        <w:t>L’intimé estime que les conclusions de cette expertise peuvent être suivies. Quant à la recourante, elle relève que l’expert P______ estime qu’une capacité de travail de 50% n’est possible qu’à la condition que ses pathologies soient sous contrôle, ce qui n’est pas le cas. À cet égard, l’expert P______, contrairement à l’avis de la recourante, a clairement indiqué que les pathologies cervicales et de l’épaule gauche ainsi que les douleurs chroniques limitaient partiellement (à un taux de 50%) la capacité de travail de la recourante dans une activité adaptée. Cette conclusion a été reprise dans l’appréciation bidisciplinaire consensuelle du 18 janvier 2024, étant par ailleurs relevé que l’évocation de la condition que les pathologies soient sous contrôle a été mentionnée par l’expert P______ en relation avec l’exigibilité d’une activité d’assistante administrative et non pas de toute activité adaptée.</w:t>
      </w:r>
    </w:p>
    <w:p>
      <w:r>
        <w:rPr>
          <w:b/>
        </w:rPr>
        <w:t>E. 9.3</w:t>
      </w:r>
    </w:p>
    <w:p>
      <w:r>
        <w:t>Au demeurant, les conclusions de l’expertise bidisciplinaire judiciaire peuvent être suivies, la recourante étant reconnue totalement incapable de travailler du 1er octobre 2018 au 31 mars 2021 et capable de travailler à un taux de 50% dans une activité adaptée dès le 1er avril 2021. Le calcul de degré d’invalidité effectué par l’intimé n’est par ailleurs pas contesté.</w:t>
      </w:r>
    </w:p>
    <w:p>
      <w:r>
        <w:rPr>
          <w:b/>
        </w:rPr>
        <w:t>E. 10</w:t>
      </w:r>
    </w:p>
    <w:p>
      <w:r>
        <w:t>En conséquence, le recours sera partiellement admis et la décision de l’intimé du 30 septembre 2022 sera réformée dans le sens que la recourante a droit à une rente entière d’invalidité du 1er octobre 2019 au 30 juin 2021 et à une demi-rente d’invalidité dès le 1er juillet 2021. La recourante, qui n’est pas représentée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Au vu du sort du recours, il y a lieu de condamner l’intimé au paiement d'un émolument de CHF 200.- (art. 69 al. 1 bis LAI).</w:t>
      </w:r>
    </w:p>
    <w:p>
      <w:r>
        <w:t>A/3450/2022 - 13/14 - Pour le surplus, les frais de l’expertise judiciaire seront laissés à charge de l’État (ATF 143 V 269 ; ATF 137 V 210).</w:t>
      </w:r>
    </w:p>
    <w:p>
      <w:r>
        <w:t>A/3450/2022 - 14/14 -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