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ATAS/271/2026 vom 19. März 2026</w:t>
      </w:r>
    </w:p>
    <w:p>
      <w:r>
        <w:t>GE Cour de justice, 2026-03-19, FR</w:t>
      </w:r>
    </w:p>
    <w:p>
      <w:r>
        <w:rPr>
          <w:b/>
        </w:rPr>
        <w:t xml:space="preserve">Quelle: </w:t>
      </w:r>
      <w:r>
        <w:t>https://mcp.opencaselaw.ch/entscheid/ge_gerichte_ATAS_271_2026</w:t>
      </w:r>
    </w:p>
    <w:p>
      <w:r>
        <w:t>FR: GE_GERICHTE ATAS/271/2026 du 19 mars 2026</w:t>
      </w:r>
    </w:p>
    <w:p>
      <w:r>
        <w:t>IT: GE_GERICHTE ATAS/271/2026 del 19 marzo 2026</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Interjeté dans la forme et le délai – de 30 jours – prévus par la loi, le recours est recevable (art. 56ss LPGA et 62ss de la loi sur la procédure administrative du 12 septembre 1985 [LPA - E 5 10]).</w:t>
      </w:r>
    </w:p>
    <w:p>
      <w:r>
        <w:rPr>
          <w:b/>
        </w:rPr>
        <w:t>E. 2</w:t>
      </w:r>
    </w:p>
    <w:p>
      <w:r>
        <w:t>Le litige porte sur le bien-fondé de la suspension de 39 jours du versement de l’indemnité infligée par l'intimée à la recourante pour avoir incité son employeur à ne plus faire appel à ses services de manière prématurée, occasionnant ainsi un dommage à l’intimée durant les cinq mois qu’aurait encore pu durer la relation de travail.</w:t>
      </w:r>
    </w:p>
    <w:p>
      <w:r>
        <w:rPr>
          <w:b/>
        </w:rPr>
        <w:t>E. 2.1</w:t>
      </w:r>
    </w:p>
    <w:p>
      <w:r>
        <w:t>Conformément à l’art. 8 al. 1 LACI, l’assuré a droit à l’indemnité de chômage : s’il est sans emploi ou partiellement sans emploi (art. 10 ; let. a), s’il a subi une perte de travail à prendre en considération (art. 11 ; let. b), s’il est domicilié en Suisse (art. 12 ; let. c), s’il a achevé sa scolarité obligatoire, qu’il n’a pas encore atteint l’âge donnant droit à une rente AVS et ne touche pas de rente de vieillesse de l’AVS (let. d, dans sa teneur en vigueur en 2023), s’il remplit les conditions relatives à la période de cotisation ou en est libéré (art. 13 et 14 ; let. e), s’il est apte au placement (art. 15 ; let. f), et s’il satisfait aux exigences du contrôle (art. 17 ; let. g).</w:t>
      </w:r>
    </w:p>
    <w:p>
      <w:r>
        <w:t>A/3285/2025 - 7/11 - Aux termes de l'art. 30 al. 1 let. a LACI,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w:t>
      </w:r>
    </w:p>
    <w:p>
      <w:r>
        <w:rPr>
          <w:b/>
        </w:rPr>
        <w:t>E. 2.2</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w:t>
      </w:r>
    </w:p>
    <w:p>
      <w:r>
        <w:rPr>
          <w:b/>
        </w:rPr>
        <w:t>E. 2.3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w:t>
      </w:r>
    </w:p>
    <w:p>
      <w:r>
        <w:rPr>
          <w:b/>
        </w:rPr>
        <w:t>E. 3.1</w:t>
      </w:r>
    </w:p>
    <w:p>
      <w:r>
        <w:t>En l’espèce, l’intimée reproche essentiellement à la recourante d’avoir, à compter de mars 2024, par son comportement, découragé la fondation de continuer à faire appel à ses services, avant l’échéance maximale du contrat les liant, contrevenant ainsi à son obligation de réduire le dommage de l’assurance- chômage. La recourante le conteste, alléguant s’être toujours montrée disponible. Elle souligne par ailleurs les conséquences de la sanction sur sa situation financière.</w:t>
      </w:r>
    </w:p>
    <w:p>
      <w:r>
        <w:rPr>
          <w:b/>
        </w:rPr>
        <w:t>E. 3.2</w:t>
      </w:r>
    </w:p>
    <w:p>
      <w:r>
        <w:t>En l’occurrence, il n’est pas contesté que le contrat liant la recourante à la fondation était un contrat de travail sur appel improprement dit. C’est le lieu de rappeler qu’il faut distinguer travail sur appel proprement dit et travail sur appel improprement dit : dans le contrat de travail sur appel proprement dit, l'horaire et la durée du travail sont fixés unilatéralement par l'employeur en fonction de ses besoins et le travailleur doit se tenir à disposition de celui-ci ; en revanche, dans le contrat de travail sur appel improprement dit, le travailleur a le droit de refuser une mission proposée par l'employeur.</w:t>
      </w:r>
    </w:p>
    <w:p>
      <w:r>
        <w:t>A/3285/2025 - 8/11 - Le travail sur appel improprement dit se distingue, par ailleurs, du travail auxiliaire ou occasionnel, en ce sens que le travailleur sur appel improprement dit accomplit ses missions dans le cadre d'un seul rapport de travail durable, tandis que le travail auxiliaire repose sur la multiplication de contrats de travail de durée déterminée (arrêt du Tribunal fédéral 8C_318/2014 du 21 mai 2015, consid. 5.1). Dans un arrêt 8C_339/2024 du 11 novembre 2024, le Tribunal fédéral a confirmé qu'en cas de travail sur appel improprement dit, une personne assurée n'a aucun droit d'être appelée par l'employeur (consid. 3.1). Cela étant, l'assuré est tenu d'accepter et de conserver un gain intermédiaire tant qu'il a droit à des indemnités compensatoires. L'assuré qui refuse ou cesse une activité en gain intermédiaire viole son obligation de diminuer le dommage et est passible d’une suspension de son droit à l'indemnité pour chômage fautif. En conséquence il doit être sanctionné par la caisse (Directive LACI IC ch. D66-67). En l’espèce, il est établi que ni la fondation, ni la recourante n’ont résilié le contrat qui les liait. Il est vrai que la fondation n’était pas tenue de proposer des missions à la recourante, pas plus que de lui garantir un revenu minimum mensuel. Cela étant, il n’en demeure pas moins qu’entre avril 2023 – date de la conclusion du contrat – et février 2024, la fondation a régulièrement fait appel aux services de la recourante, tous les mois, sans exception, au point de lui permettre de réaliser un revenu mensuel moyen d’un peu plus de CHF 4'000.-, ainsi que l’a constaté l’intimée dans la décision litigieuse. Il est également établi que la fondation a cessé de faire appel à la recourante lorsque celle-ci a refusé de donner suite à la demande d’entretien de la fondation et ce, quand bien même celle-ci l’avait dûment avertie qu’à défaut, il ne serait plus fait appel à elle. Au lieu de quoi – et bien qu’elle s’en défende –, la recourante, à deux reprises, a annoncé à la fondation son indisponibilité sine die (par courriel du 25 avril 2024, puis par courriel du 26 juillet 2024), alors même que, malgré son avertissement et le fait que l’entretien n’avait pas eu lieu, la fondation avait fait preuve d’indulgence en lui proposant à nouveau une mission, mi-juillet 2024. De même, après avoir été invitée par l’intimée à reproposer ses services à la fondation, début 2025, la recourante a décliné la proposition qui lui était faite d’effectuer un remplacement en date du 29 janvier 2025, ensuite de quoi la fondation a totalement renoncé à s’adresser à elle. Au vu de ces éléments, force est de constater que la recourante a bel et bien dissuadé la fondation de faire appel à elle, non seulement par son refus de donner suite à la demande d’entretien, mais également par ses déclarations d’indisponibilité, violant ainsi son obligation de réduire le dommage en décourageant un employeur qui, durant près d’une année, avait régulièrement fait appel à elle chaque mois. On ajoutera qu’en omettant d’annoncer à l’intimée l’existence du contrat la liant à la fondation, la recourante, par cette négligence, a privé la caisse de la possibilité de lui enjoindre plus tôt de remédier à la situation en reproposant ses services à l’employeur, qui semblait disposé à lui redonner une</w:t>
      </w:r>
    </w:p>
    <w:p>
      <w:r>
        <w:t>A/3285/2025 - 9/11 - chance, ainsi que le démontre le fait qu’il a à nouveau tenté de faire appel à elle en janvier 2025. Eu égard aux considérations qui précèdent, c’est à juste titre que l’intimée a considéré que les éléments constitutifs d’une faute étaient réunis, l’assurée ayant, par son comportement, renoncé à une source de revenu susceptible de diminuer le dommage de l’assurance-chômage.</w:t>
      </w:r>
    </w:p>
    <w:p>
      <w:r>
        <w:rPr>
          <w:b/>
        </w:rPr>
        <w:t>E. 4</w:t>
      </w:r>
    </w:p>
    <w:p>
      <w:r>
        <w:t>Reste à déterminer si la durée de la suspension est bien fondée.</w:t>
      </w:r>
    </w:p>
    <w:p>
      <w:r>
        <w:rPr>
          <w:b/>
        </w:rPr>
        <w:t>E. 4.1</w:t>
      </w:r>
    </w:p>
    <w:p>
      <w:r>
        <w:t>L'art. 30 al. 3 LACI prévoit notamment que la durée de la suspension est proportionnelle à la gravité de la faute. En vertu de l'art. 45 OACI, la suspension dure de 1 à 15 jours en cas de faute légère (al. 3 let. a), de 16 à 30 jours en cas de faute de gravité moyenne (al. 3 let. b) et de 31 à 60 jours en cas de faute grave (al. 3 let. c).</w:t>
      </w:r>
    </w:p>
    <w:p>
      <w:r>
        <w:rPr>
          <w:b/>
        </w:rPr>
        <w:t>E. 4.2</w:t>
      </w:r>
    </w:p>
    <w:p>
      <w:r>
        <w:t>Il y a faute grave lorsque, sans motif valable, l'assuré abandonne un emploi réputé convenable sans être assuré d'obtenir un nouvel emploi (al. 4 let. a) ou qu'il refuse un emploi réputé convenable (al. 4 let. b) ; demeurent toutefois réservées des circonstances particulières faisant apparaître, dans le cas concret, la faute comme plus légère (arrêt du Tribunal fédéral des assurances C 142/06 du 3 juillet 2007 consid. 3).</w:t>
      </w:r>
    </w:p>
    <w:p>
      <w:r>
        <w:rPr>
          <w:b/>
        </w:rPr>
        <w:t>E. 4.3</w:t>
      </w:r>
    </w:p>
    <w:p>
      <w:r>
        <w:t>La quotité de la suspension du droit à l'indemnité de chômage dans un cas concret constitue une question relevant du pouvoir d'appréciation (arrêt du Tribunal fédéral 8C_194/2013 du 26 septembre 2013 consid. 5.2).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cependant,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w:t>
      </w:r>
    </w:p>
    <w:p>
      <w:r>
        <w:rPr>
          <w:b/>
        </w:rPr>
        <w:t>E. 4.4</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w:t>
      </w:r>
    </w:p>
    <w:p>
      <w:r>
        <w:t>A/3285/2025 - 10/11 -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citées). En cas de refus ou d'abandon d'un emploi en gain intermédiaire, la durée de la suspension est fixée selon le barème applicable pour refus ou abandon d'un emploi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(Directive LACI IC, ch. D68).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(Bulletin LACI IC / D 64). Le comportement général de la personne assurée doit également être pris en considération. Lorsque la suspension infligée s'écarte de ladite échelle, l'autorité qui la prononce doit assortir sa décision d'un exposé des motifs justifiant sa sévérité ou sa clémence particulière (Bulletin LACI IC / D 72).</w:t>
      </w:r>
    </w:p>
    <w:p>
      <w:r>
        <w:rPr>
          <w:b/>
        </w:rPr>
        <w:t>E. 4.5</w:t>
      </w:r>
    </w:p>
    <w:p>
      <w:r>
        <w:t>En l’espèce, la recourante, par son comportement, a renoncé à près de cinq mois d’indemnisation en gain intermédiaire (entre le 1er novembre 2024, date de l’inscription au chômage, et fin mars 2025, date de la fin du contrat). L’intimée a donc retenu, pour fixer la quotité de la sanction, les 2/3 de ces 5 mois, en partant d’une sanction de 60 jours pour faute grave. Compte tenu du fait que l'emploi concerné était un gain intermédiaire, le nombre de jours de suspension s'élève en définitive à 39 jours selon le calcul suivant : CHF 4'326.40 [moyenne des gains intermédiaires] / CHF 6'714.00 [gain assuré] x 60 jours de suspension = 39. La sanction infligée est comprise dans la fourchette prévue par le barème du SECO et apparaît donc correcte, d’autant qu’elle tient compte de la durée résiduelle du contrat liant la recourante à la fondation, d’une part, du fait qu’il</w:t>
      </w:r>
    </w:p>
    <w:p>
      <w:r>
        <w:t>A/3285/2025 - 11/11 - s’agissait d’un gain intermédiaire, d’autre part. Dès lors, aucun élément ne justifie de s’en écarter. Partant, le recours, mal fondé, est rejeté. Pour le surplus, la procédure est gratuite.</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