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ATAS/271/2022 vom 22. März 2022</w:t>
      </w:r>
    </w:p>
    <w:p>
      <w:r>
        <w:t>GE Cour de justice, 2022-03-22, FR</w:t>
      </w:r>
    </w:p>
    <w:p>
      <w:r>
        <w:rPr>
          <w:b/>
        </w:rPr>
        <w:t xml:space="preserve">Quelle: </w:t>
      </w:r>
      <w:r>
        <w:t>https://mcp.opencaselaw.ch/entscheid/ge_gerichte_ATAS_271_2022</w:t>
      </w:r>
    </w:p>
    <w:p>
      <w:r>
        <w:t>FR: GE_GERICHTE ATAS/271/2022 du 22 mars 2022</w:t>
      </w:r>
    </w:p>
    <w:p>
      <w:r>
        <w:t>IT: GE_GERICHTE ATAS/271/2022 del 22 marzo 2022</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À titre incident se pose la question de l'interdiction de postuler du Conseil de la demanderesse et plus particulièrement du conflit d'intérêts invoqué par la défenderesse dans sa requête du 9 août 2021. En la matière, le Tribunal fédéral a rappelé qu'en procédure civile, la décision sur la capacité de postuler de l'avocat vise à garantir la bonne marche du procès. Elle entre donc dans la catégorie des décisions relatives à la conduite du procès, au sens de l'art. 124 al. 1 CPC (cf. art. 62 CPP). Pour l'acte introductif d'instance, la capacité de postuler est en outre une condition de recevabilité de la demande (art. 59 al. 1 CPC). Partant, si la capacité de postuler est déniée à l'avocat, un délai doit être fixé à la partie concernée pour remédier à l'irrégularité (art. 132 CPC par analogie; ATF 147 III 351 consid. 6.2.1, arrêt du Tribunal fédéral 4A_87/2012 du 10 avril 2012 consid. 3.2.3). Il a jugé que dans une procédure pendante, l'autorité qui doit statuer sur la capacité de postuler de l'avocat est le tribunal compétent sur le fond de la cause ou, sur délégation, un membre de ce même tribunal (art. 124 al. 2 CPC), à l'exclusion de l'autorité de surveillance (ATF 147 III 351 consid. 6.3). La compétence de la chambre de céans pour statuer sur la demande en paiement et sur la requête en interdiction de postuler est ainsi établie.</w:t>
      </w:r>
    </w:p>
    <w:p>
      <w:r>
        <w:t>A/1781/2021 - 4/6 -</w:t>
      </w:r>
    </w:p>
    <w:p>
      <w:r>
        <w:rPr>
          <w:b/>
        </w:rPr>
        <w:t>E. 2</w:t>
      </w:r>
    </w:p>
    <w:p>
      <w:r>
        <w:t>Aux termes de l'art. 12 de la loi fédérale du 23 juin 2000 sur la libre circulation des avocats (LLCA - RS 935.61), l'avocat exerce sa profession avec soin et diligence (let. a), exerce son activité professionnelle en toute indépendance, en son nom personnel et sous sa propre responsabilité (let. b), et évite tout conflit entre les intérêts de son client et ceux des personnes avec lesquelles il est en relation sur le plan professionnel ou privé (let. c).</w:t>
      </w:r>
    </w:p>
    <w:p>
      <w:r>
        <w:rPr>
          <w:b/>
        </w:rPr>
        <w:t>E. 3</w:t>
      </w:r>
    </w:p>
    <w:p>
      <w:r>
        <w:t>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1A_223/2002 du 18 mars 2003 consid. 5.5).</w:t>
      </w:r>
    </w:p>
    <w:p>
      <w:r>
        <w:rPr>
          <w:b/>
        </w:rPr>
        <w:t>E. 4</w:t>
      </w:r>
    </w:p>
    <w:p>
      <w:r>
        <w:t>Le Tribunal fédéral a souvent rappelé que l'avocat a notamment le devoir d'éviter la double représentation, c'est-à-dire le cas où il serait amené à défendre les intérêts opposés de deux parties à la fois (ATF 135 II 145 consid. 9.1 p. 154 et les références), car il n'est alors plus en mesure de respecter pleinement son obligation de fidélité et son devoir de diligence envers chacun de ses clients (arrêt du Tribunal fédéral 2C_688/2009 du 25 mars 2010 consid. 3.1, in SJ 2010 I p. 433).</w:t>
      </w:r>
    </w:p>
    <w:p>
      <w:r>
        <w:rPr>
          <w:b/>
        </w:rPr>
        <w:t>E. 5</w:t>
      </w:r>
    </w:p>
    <w:p>
      <w:r>
        <w:t>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p. 110 et les références).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susceptible d'entraîner un tel conflit d'intérêts (arrêt du Tribunal fédéral 2C_45/2016 du 11 juillet 2016 consid. 2.2 et les références; cf. JAB 2011 p. 306 consid. 2.2). Toutefois, un risque purement abstrait ou théorique ne suffit pas, le risque devant être concret (arrêt du Tribunal fédéral 2C_45/2016 du 11 juillet 2016 consid. 2.2 et les références; JTA 2018/76 du 31 mai 2018 consid. 3.3).</w:t>
      </w:r>
    </w:p>
    <w:p>
      <w:r>
        <w:rPr>
          <w:b/>
        </w:rPr>
        <w:t>E. 6</w:t>
      </w:r>
    </w:p>
    <w:p>
      <w:r>
        <w:t>En l'espèce, la demanderesse dans la présente procédure prétend à la prise en charge par son assurance complémentaire de plusieurs factures liées à son accouchement à la Clinique des Grangettes, dont l'une établie par cette dernière d'un montant de CHF 347.-. Cette facture n'est contestée ni dans son montant ni dans son principe. La demanderesse se prévaut pour ce faire de son propre contrat d'assurance complémentaire. Le paiement de cette facture d'ores et déjà émise est actuellement à la charge de la demanderesse. Ce n'est ainsi que si elle obtient gain de cause, que la facture pourrait être payée par la défenderesse. Dans le cas contraire, la facture restera à sa charge et sera toujours due à la Clinique.</w:t>
      </w:r>
    </w:p>
    <w:p>
      <w:r>
        <w:t>A/1781/2021 - 5/6 -</w:t>
      </w:r>
    </w:p>
    <w:p>
      <w:r>
        <w:rPr>
          <w:b/>
        </w:rPr>
        <w:t>E. 7</w:t>
      </w:r>
    </w:p>
    <w:p>
      <w:r>
        <w:t>Il n'y a concrètement pas de conflit d'intérêts entre la représentation de la demanderesse dans la présente procédure contre l'assurance complémentaire de cette dernière et la défense de la Clinique des Grangettes dans une action en paiement introduite devant le TC par l'assurance CONCORDIA. La procédure pendante devant le TC ne vise en effet pas la demanderesse et a un tout autre fondement que le contrat d'assurance en cause dans la présente procédure, l'assurance faisant valoir un contrat de prêt tacite. Dans ces circonstances entièrement différentes, les deux mandantes du Conseil dont l'interdiction est demandée n'ont pas d'intérêts opposés. Il n'existe donc pas de conflit d'intérêts au sens strict en l'occurrence, de sorte que la chambre de céans n'interdira pas au Conseil de la demanderesse de postuler.</w:t>
      </w:r>
    </w:p>
    <w:p>
      <w:r>
        <w:rPr>
          <w:b/>
        </w:rPr>
        <w:t>E. 8</w:t>
      </w:r>
    </w:p>
    <w:p>
      <w:r>
        <w:t>Les conclusions incidentes doivent dès lors être rejetées.</w:t>
      </w:r>
    </w:p>
    <w:p>
      <w:r>
        <w:rPr>
          <w:b/>
        </w:rPr>
        <w:t>E. 9</w:t>
      </w:r>
    </w:p>
    <w:p>
      <w:r>
        <w:t>La demanderesse, représentée par un conseil, obtenant gain de cause sur incident, la défenderesse est condamnée à lui verser une indemnité de CHF 500.- à titre de dépens, TVA et débours inclus (art. 106 al. 1 CPC; art. 20 à 26 de la loi d'application du code civil suisse et d’autres lois fédérales en matière civile du</w:t>
      </w:r>
    </w:p>
    <w:p>
      <w:r>
        <w:rPr>
          <w:b/>
        </w:rPr>
        <w:t>E. 11</w:t>
      </w:r>
    </w:p>
    <w:p>
      <w:r>
        <w:t>octobre 2012 [LaCC - E 1 05]; art. 84, 85 et 87 du RTFMC). 10. Pour le surplus, la procédure est gratuite (art. 114 let. e CPC).</w:t>
      </w:r>
    </w:p>
    <w:p>
      <w:r>
        <w:t>A/1781/2021 - 6/6 -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