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ATAS/271/2018 vom 22. März 2018</w:t>
      </w:r>
    </w:p>
    <w:p>
      <w:r>
        <w:t>GE Cour de justice, 2018-03-22, FR</w:t>
      </w:r>
    </w:p>
    <w:p>
      <w:r>
        <w:rPr>
          <w:b/>
        </w:rPr>
        <w:t xml:space="preserve">Quelle: </w:t>
      </w:r>
      <w:r>
        <w:t>https://mcp.opencaselaw.ch/entscheid/ge_gerichte_ATAS_271_2018</w:t>
      </w:r>
    </w:p>
    <w:p>
      <w:r>
        <w:t>FR: GE_GERICHTE ATAS/271/2018 du 22 mars 2018</w:t>
      </w:r>
    </w:p>
    <w:p>
      <w:r>
        <w:t>IT: GE_GERICHTE ATAS/271/2018 del 22 marzo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Se pose en l’occurrence la question de la recevabilité du recours interjeté le</w:t>
      </w:r>
    </w:p>
    <w:p>
      <w:r>
        <w:rPr>
          <w:b/>
        </w:rPr>
        <w:t>E. 5</w:t>
      </w:r>
    </w:p>
    <w:p>
      <w:r>
        <w:t>février est donc intervenu tardivement.</w:t>
      </w:r>
    </w:p>
    <w:p>
      <w:r>
        <w:rPr>
          <w:b/>
        </w:rPr>
        <w:t>E. 6</w:t>
      </w:r>
    </w:p>
    <w:p>
      <w:r>
        <w:t>Le délai légal ne peut pas être prolongé (art. 40 al. 1 LPGA).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du Tribunal fédéral 9C_541/2009 du 12 mai 2010 consid. 4). Par empêchement non fautif, il faut comprendre aussi bien l'impossibilité objective, comme la force majeure, que l'impossibilité due à des circonstances personnelles ou</w:t>
      </w:r>
    </w:p>
    <w:p>
      <w:r>
        <w:t>A/453/2018 - 5/6 - à une erreur excusables (arrêt du Tribunal fédéral 5P.376/2002 du 21 novembre 2002 consid. 2.1). En cas de maladie, par exemple, l'affection doit être à ce point incapacitante qu'elle empêche objectivement la partie d'agir personnellement ou de mandater un tiers pour le faire (ATF 112 V 255 consid. 2a). En l’espèce, le recourant ne fait valoir aucun motif de restitution de délai. Dès lors, en l'absence de motif valable de restitution de délai, le recours doit être déclaré irrecevable pour cause de tardiveté.</w:t>
      </w:r>
    </w:p>
    <w:p>
      <w:r>
        <w:t>***</w:t>
      </w:r>
    </w:p>
    <w:p>
      <w:r>
        <w:t>A/453/2018 - 6/6 -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